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1C7" w:rsidRPr="000C1F58" w:rsidRDefault="00F471C7" w:rsidP="00F471C7">
      <w:pPr>
        <w:rPr>
          <w:b/>
          <w:i/>
          <w:color w:val="000000" w:themeColor="text1"/>
          <w:sz w:val="20"/>
          <w:szCs w:val="20"/>
        </w:rPr>
      </w:pPr>
    </w:p>
    <w:p w:rsidR="00F471C7" w:rsidRPr="00F471C7" w:rsidRDefault="00F471C7" w:rsidP="00F471C7">
      <w:pPr>
        <w:keepNext/>
        <w:keepLines/>
        <w:spacing w:before="40"/>
        <w:ind w:left="450"/>
        <w:outlineLvl w:val="1"/>
        <w:rPr>
          <w:rFonts w:ascii="Calibri" w:eastAsia="游ゴシック Light" w:hAnsi="Calibri"/>
          <w:b/>
          <w:color w:val="000000"/>
        </w:rPr>
      </w:pPr>
      <w:bookmarkStart w:id="0" w:name="_Toc519103497"/>
      <w:r w:rsidRPr="00F471C7">
        <w:rPr>
          <w:rFonts w:ascii="Calibri" w:eastAsia="游ゴシック Light" w:hAnsi="Calibri"/>
          <w:b/>
          <w:color w:val="000000"/>
        </w:rPr>
        <w:t xml:space="preserve">Dissolved </w:t>
      </w:r>
      <w:bookmarkEnd w:id="0"/>
      <w:r w:rsidR="00BB2E22" w:rsidRPr="00F471C7">
        <w:rPr>
          <w:rFonts w:ascii="Calibri" w:eastAsia="游ゴシック Light" w:hAnsi="Calibri"/>
          <w:b/>
          <w:color w:val="000000"/>
        </w:rPr>
        <w:t>Calcium</w:t>
      </w:r>
      <w:r w:rsidR="00BB2E22">
        <w:rPr>
          <w:rFonts w:ascii="Calibri" w:eastAsia="游ゴシック Light" w:hAnsi="Calibri"/>
          <w:b/>
          <w:color w:val="000000"/>
        </w:rPr>
        <w:t xml:space="preserve"> (</w:t>
      </w:r>
      <w:r w:rsidR="001307BD">
        <w:rPr>
          <w:rFonts w:ascii="Calibri" w:eastAsia="游ゴシック Light" w:hAnsi="Calibri"/>
          <w:b/>
          <w:color w:val="000000"/>
        </w:rPr>
        <w:t>updated 2019/03/</w:t>
      </w:r>
      <w:r w:rsidR="00BB2E22" w:rsidRPr="00BB2E22">
        <w:rPr>
          <w:rFonts w:ascii="Calibri" w:eastAsia="游ゴシック Light" w:hAnsi="Calibri" w:hint="eastAsia"/>
          <w:b/>
          <w:lang w:eastAsia="ja-JP"/>
        </w:rPr>
        <w:t>12</w:t>
      </w:r>
      <w:r w:rsidR="001307BD">
        <w:rPr>
          <w:rFonts w:ascii="Calibri" w:eastAsia="游ゴシック Light" w:hAnsi="Calibri"/>
          <w:b/>
          <w:color w:val="000000"/>
        </w:rPr>
        <w:t>)</w:t>
      </w:r>
    </w:p>
    <w:p w:rsidR="00F471C7" w:rsidRPr="00FF342E" w:rsidRDefault="00F471C7" w:rsidP="00F471C7">
      <w:pPr>
        <w:autoSpaceDE w:val="0"/>
        <w:autoSpaceDN w:val="0"/>
        <w:adjustRightInd w:val="0"/>
        <w:snapToGrid w:val="0"/>
        <w:spacing w:before="120"/>
        <w:rPr>
          <w:rFonts w:cs="CenturyOldStyleStd-Regular"/>
          <w:sz w:val="20"/>
          <w:szCs w:val="20"/>
        </w:rPr>
      </w:pPr>
      <w:r>
        <w:rPr>
          <w:rFonts w:eastAsia="CenturyOldStyleStd-Bold" w:cs="CenturyOldStyleStd-Bold"/>
          <w:b/>
          <w:bCs/>
          <w:sz w:val="20"/>
          <w:szCs w:val="20"/>
        </w:rPr>
        <w:t xml:space="preserve">PI: </w:t>
      </w:r>
      <w:r w:rsidRPr="00FF342E">
        <w:rPr>
          <w:rFonts w:cs="CenturyOldStyleStd-Regular"/>
          <w:sz w:val="20"/>
          <w:szCs w:val="20"/>
        </w:rPr>
        <w:t>Akihiko Murata</w:t>
      </w:r>
      <w:r w:rsidRPr="00FF342E">
        <w:rPr>
          <w:rFonts w:eastAsia="CenturyOldStyleStd-Regular" w:cs="CenturyOldStyleStd-Regular"/>
          <w:sz w:val="20"/>
          <w:szCs w:val="20"/>
        </w:rPr>
        <w:t xml:space="preserve"> (JAMSTEC)</w:t>
      </w:r>
      <w:r w:rsidRPr="00FF342E">
        <w:rPr>
          <w:rFonts w:cs="CenturyOldStyleStd-Regular"/>
          <w:sz w:val="20"/>
          <w:szCs w:val="20"/>
        </w:rPr>
        <w:t>-not onboard</w:t>
      </w:r>
    </w:p>
    <w:p w:rsidR="00F471C7" w:rsidRPr="00FF342E" w:rsidRDefault="00F471C7" w:rsidP="00F471C7">
      <w:pPr>
        <w:autoSpaceDE w:val="0"/>
        <w:autoSpaceDN w:val="0"/>
        <w:adjustRightInd w:val="0"/>
        <w:rPr>
          <w:rFonts w:cs="CenturyOldStyleStd-Regular"/>
          <w:sz w:val="20"/>
          <w:szCs w:val="20"/>
        </w:rPr>
      </w:pPr>
      <w:r w:rsidRPr="00FF342E">
        <w:rPr>
          <w:rFonts w:cs="CenturyOldStyleStd-Regular"/>
          <w:b/>
          <w:sz w:val="20"/>
          <w:szCs w:val="20"/>
        </w:rPr>
        <w:t>Sampler:</w:t>
      </w:r>
      <w:r>
        <w:rPr>
          <w:rFonts w:cs="CenturyOldStyleStd-Regular"/>
          <w:sz w:val="20"/>
          <w:szCs w:val="20"/>
        </w:rPr>
        <w:t xml:space="preserve"> </w:t>
      </w:r>
      <w:r w:rsidRPr="00FF342E">
        <w:rPr>
          <w:rFonts w:cs="CenturyOldStyleStd-Regular"/>
          <w:sz w:val="20"/>
          <w:szCs w:val="20"/>
        </w:rPr>
        <w:t>Shinichiro Umeda (JAMSTEC)</w:t>
      </w:r>
    </w:p>
    <w:p w:rsidR="00F471C7" w:rsidRPr="00FF342E" w:rsidRDefault="00F471C7" w:rsidP="00F471C7">
      <w:pPr>
        <w:autoSpaceDE w:val="0"/>
        <w:autoSpaceDN w:val="0"/>
        <w:adjustRightInd w:val="0"/>
        <w:spacing w:before="120"/>
        <w:rPr>
          <w:rFonts w:eastAsia="CenturyOldStyleStd-Bold" w:cs="CenturyOldStyleStd-Bold"/>
          <w:bCs/>
          <w:sz w:val="20"/>
          <w:szCs w:val="20"/>
          <w:u w:val="single"/>
        </w:rPr>
      </w:pPr>
      <w:r w:rsidRPr="00FF342E">
        <w:rPr>
          <w:rFonts w:eastAsia="CenturyOldStyleStd-Bold" w:cs="CenturyOldStyleStd-Bold"/>
          <w:bCs/>
          <w:sz w:val="20"/>
          <w:szCs w:val="20"/>
          <w:u w:val="single"/>
        </w:rPr>
        <w:t>Objectives</w:t>
      </w:r>
      <w:bookmarkStart w:id="1" w:name="_GoBack"/>
      <w:bookmarkEnd w:id="1"/>
    </w:p>
    <w:p w:rsidR="00F471C7" w:rsidRDefault="00F471C7" w:rsidP="00F471C7">
      <w:pPr>
        <w:autoSpaceDE w:val="0"/>
        <w:autoSpaceDN w:val="0"/>
        <w:adjustRightInd w:val="0"/>
        <w:rPr>
          <w:rFonts w:eastAsia="CenturyOldStyleStd-Regular" w:cs="CenturyOldStyleStd-Regular"/>
          <w:sz w:val="20"/>
          <w:szCs w:val="20"/>
        </w:rPr>
      </w:pPr>
      <w:r w:rsidRPr="00FF342E">
        <w:rPr>
          <w:rFonts w:eastAsia="CenturyOldStyleStd-Regular" w:cs="CenturyOldStyleStd-Regular"/>
          <w:sz w:val="20"/>
          <w:szCs w:val="20"/>
        </w:rPr>
        <w:t>According to the recent IPCC report, concentrations of CO</w:t>
      </w:r>
      <w:r w:rsidRPr="00F471C7">
        <w:rPr>
          <w:rFonts w:eastAsia="CenturyOldStyleStd-Regular" w:cs="CenturyOldStyleStd-Regular"/>
          <w:sz w:val="20"/>
          <w:szCs w:val="20"/>
          <w:vertAlign w:val="subscript"/>
        </w:rPr>
        <w:t>2</w:t>
      </w:r>
      <w:r w:rsidRPr="00FF342E">
        <w:rPr>
          <w:rFonts w:eastAsia="CenturyOldStyleStd-Regular" w:cs="CenturyOldStyleStd-Regular"/>
          <w:sz w:val="20"/>
          <w:szCs w:val="20"/>
        </w:rPr>
        <w:t xml:space="preserve"> in the atmosphere have increased by 40%</w:t>
      </w:r>
      <w:r w:rsidRPr="00FF342E">
        <w:rPr>
          <w:rFonts w:cs="CenturyOldStyleStd-Regular"/>
          <w:sz w:val="20"/>
          <w:szCs w:val="20"/>
        </w:rPr>
        <w:t xml:space="preserve"> </w:t>
      </w:r>
      <w:r w:rsidRPr="00FF342E">
        <w:rPr>
          <w:rFonts w:eastAsia="CenturyOldStyleStd-Regular" w:cs="CenturyOldStyleStd-Regular"/>
          <w:sz w:val="20"/>
          <w:szCs w:val="20"/>
        </w:rPr>
        <w:t xml:space="preserve">since pre-industrial times, primarily </w:t>
      </w:r>
      <w:r w:rsidRPr="00FF342E">
        <w:rPr>
          <w:rFonts w:cs="CenturyOldStyleStd-Regular" w:hint="eastAsia"/>
          <w:sz w:val="20"/>
          <w:szCs w:val="20"/>
        </w:rPr>
        <w:t>by</w:t>
      </w:r>
      <w:r w:rsidRPr="00FF342E">
        <w:rPr>
          <w:rFonts w:eastAsia="CenturyOldStyleStd-Regular" w:cs="CenturyOldStyleStd-Regular"/>
          <w:sz w:val="20"/>
          <w:szCs w:val="20"/>
        </w:rPr>
        <w:t xml:space="preserve"> fossil fuel </w:t>
      </w:r>
      <w:r w:rsidRPr="00FF342E">
        <w:rPr>
          <w:rFonts w:cs="CenturyOldStyleStd-Regular" w:hint="eastAsia"/>
          <w:sz w:val="20"/>
          <w:szCs w:val="20"/>
        </w:rPr>
        <w:t>burning</w:t>
      </w:r>
      <w:r w:rsidRPr="00FF342E">
        <w:rPr>
          <w:rFonts w:eastAsia="CenturyOldStyleStd-Regular" w:cs="CenturyOldStyleStd-Regular"/>
          <w:sz w:val="20"/>
          <w:szCs w:val="20"/>
        </w:rPr>
        <w:t xml:space="preserve"> and secondarily </w:t>
      </w:r>
      <w:r w:rsidRPr="00FF342E">
        <w:rPr>
          <w:rFonts w:cs="CenturyOldStyleStd-Regular" w:hint="eastAsia"/>
          <w:sz w:val="20"/>
          <w:szCs w:val="20"/>
        </w:rPr>
        <w:t>by</w:t>
      </w:r>
      <w:r w:rsidRPr="00FF342E">
        <w:rPr>
          <w:rFonts w:eastAsia="CenturyOldStyleStd-Regular" w:cs="CenturyOldStyleStd-Regular"/>
          <w:sz w:val="20"/>
          <w:szCs w:val="20"/>
        </w:rPr>
        <w:t xml:space="preserve"> net land use change. The</w:t>
      </w:r>
      <w:r w:rsidRPr="00FF342E">
        <w:rPr>
          <w:rFonts w:cs="CenturyOldStyleStd-Regular"/>
          <w:sz w:val="20"/>
          <w:szCs w:val="20"/>
        </w:rPr>
        <w:t xml:space="preserve"> </w:t>
      </w:r>
      <w:r w:rsidRPr="00FF342E">
        <w:rPr>
          <w:rFonts w:eastAsia="CenturyOldStyleStd-Regular" w:cs="CenturyOldStyleStd-Regular"/>
          <w:sz w:val="20"/>
          <w:szCs w:val="20"/>
        </w:rPr>
        <w:t xml:space="preserve">ocean </w:t>
      </w:r>
      <w:r w:rsidRPr="00FF342E">
        <w:rPr>
          <w:rFonts w:cs="CenturyOldStyleStd-Regular" w:hint="eastAsia"/>
          <w:sz w:val="20"/>
          <w:szCs w:val="20"/>
        </w:rPr>
        <w:t>is said to absorb</w:t>
      </w:r>
      <w:r w:rsidRPr="00FF342E">
        <w:rPr>
          <w:rFonts w:eastAsia="CenturyOldStyleStd-Regular" w:cs="CenturyOldStyleStd-Regular"/>
          <w:sz w:val="20"/>
          <w:szCs w:val="20"/>
        </w:rPr>
        <w:t xml:space="preserve"> about 30% of the emitted anthropogenic </w:t>
      </w:r>
      <w:r w:rsidRPr="00FF342E">
        <w:rPr>
          <w:rFonts w:cs="CenturyOldStyleStd-Regular" w:hint="eastAsia"/>
          <w:sz w:val="20"/>
          <w:szCs w:val="20"/>
        </w:rPr>
        <w:t>CO</w:t>
      </w:r>
      <w:r w:rsidRPr="00FF342E">
        <w:rPr>
          <w:rFonts w:cs="CenturyOldStyleStd-Regular" w:hint="eastAsia"/>
          <w:sz w:val="20"/>
          <w:szCs w:val="20"/>
          <w:vertAlign w:val="subscript"/>
        </w:rPr>
        <w:t>2</w:t>
      </w:r>
      <w:r w:rsidRPr="00FF342E">
        <w:rPr>
          <w:rFonts w:cs="CenturyOldStyleStd-Regular" w:hint="eastAsia"/>
          <w:sz w:val="20"/>
          <w:szCs w:val="20"/>
        </w:rPr>
        <w:t xml:space="preserve">, accordingly moderating progression of global warming. However, the ocean suffers from </w:t>
      </w:r>
      <w:r w:rsidRPr="00FF342E">
        <w:rPr>
          <w:rFonts w:eastAsia="CenturyOldStyleStd-Regular" w:cs="CenturyOldStyleStd-Regular"/>
          <w:sz w:val="20"/>
          <w:szCs w:val="20"/>
        </w:rPr>
        <w:t>ocean acidification</w:t>
      </w:r>
      <w:r w:rsidRPr="00FF342E">
        <w:rPr>
          <w:rFonts w:cs="CenturyOldStyleStd-Regular" w:hint="eastAsia"/>
          <w:sz w:val="20"/>
          <w:szCs w:val="20"/>
        </w:rPr>
        <w:t xml:space="preserve"> by the uptake of anthropogenic CO</w:t>
      </w:r>
      <w:r w:rsidRPr="00F471C7">
        <w:rPr>
          <w:rFonts w:cs="CenturyOldStyleStd-Regular" w:hint="eastAsia"/>
          <w:sz w:val="20"/>
          <w:szCs w:val="20"/>
          <w:vertAlign w:val="subscript"/>
        </w:rPr>
        <w:t>2</w:t>
      </w:r>
      <w:r w:rsidRPr="00FF342E">
        <w:rPr>
          <w:rFonts w:cs="CenturyOldStyleStd-Regular" w:hint="eastAsia"/>
          <w:sz w:val="20"/>
          <w:szCs w:val="20"/>
        </w:rPr>
        <w:t>.</w:t>
      </w:r>
      <w:r w:rsidRPr="00FF342E">
        <w:rPr>
          <w:rFonts w:cs="CenturyOldStyleStd-Regular"/>
          <w:sz w:val="20"/>
          <w:szCs w:val="20"/>
        </w:rPr>
        <w:t xml:space="preserve"> </w:t>
      </w:r>
      <w:r w:rsidRPr="00FF342E">
        <w:rPr>
          <w:rFonts w:eastAsia="CenturyOldStyleStd-Regular" w:cs="CenturyOldStyleStd-Regular"/>
          <w:sz w:val="20"/>
          <w:szCs w:val="20"/>
        </w:rPr>
        <w:t>Ocean acidification is characterized by an increase of H</w:t>
      </w:r>
      <w:r w:rsidRPr="00FF342E">
        <w:rPr>
          <w:rFonts w:eastAsia="CenturyOldStyleStd-Regular" w:cs="CenturyOldStyleStd-Regular"/>
          <w:sz w:val="20"/>
          <w:szCs w:val="20"/>
          <w:vertAlign w:val="superscript"/>
        </w:rPr>
        <w:t>+</w:t>
      </w:r>
      <w:r w:rsidRPr="00FF342E">
        <w:rPr>
          <w:rFonts w:eastAsia="CenturyOldStyleStd-Regular" w:cs="CenturyOldStyleStd-Regular"/>
          <w:sz w:val="20"/>
          <w:szCs w:val="20"/>
        </w:rPr>
        <w:t xml:space="preserve"> (i.e., a decrease of pH) and a concurrent</w:t>
      </w:r>
      <w:r w:rsidRPr="00FF342E">
        <w:rPr>
          <w:rFonts w:cs="CenturyOldStyleStd-Regular"/>
          <w:sz w:val="20"/>
          <w:szCs w:val="20"/>
        </w:rPr>
        <w:t xml:space="preserve"> </w:t>
      </w:r>
      <w:r w:rsidRPr="00FF342E">
        <w:rPr>
          <w:rFonts w:eastAsia="CenturyOldStyleStd-Regular" w:cs="CenturyOldStyleStd-Regular"/>
          <w:sz w:val="20"/>
          <w:szCs w:val="20"/>
        </w:rPr>
        <w:t>decrease of carbonate ion concentration (CO</w:t>
      </w:r>
      <w:r w:rsidRPr="00FF342E">
        <w:rPr>
          <w:rFonts w:eastAsia="CenturyOldStyleStd-Regular" w:cs="CenturyOldStyleStd-Regular"/>
          <w:sz w:val="20"/>
          <w:szCs w:val="20"/>
          <w:vertAlign w:val="subscript"/>
        </w:rPr>
        <w:t>3</w:t>
      </w:r>
      <w:r w:rsidRPr="00FF342E">
        <w:rPr>
          <w:rFonts w:eastAsia="CenturyOldStyleStd-Regular" w:cs="CenturyOldStyleStd-Regular"/>
          <w:sz w:val="20"/>
          <w:szCs w:val="20"/>
          <w:vertAlign w:val="superscript"/>
        </w:rPr>
        <w:t>2–</w:t>
      </w:r>
      <w:r w:rsidRPr="00FF342E">
        <w:rPr>
          <w:rFonts w:eastAsia="CenturyOldStyleStd-Regular" w:cs="CenturyOldStyleStd-Regular"/>
          <w:sz w:val="20"/>
          <w:szCs w:val="20"/>
        </w:rPr>
        <w:t>). The decrease of CO</w:t>
      </w:r>
      <w:r w:rsidRPr="00FF342E">
        <w:rPr>
          <w:rFonts w:eastAsia="CenturyOldStyleStd-Regular" w:cs="CenturyOldStyleStd-Regular"/>
          <w:sz w:val="20"/>
          <w:szCs w:val="20"/>
          <w:vertAlign w:val="subscript"/>
        </w:rPr>
        <w:t>3</w:t>
      </w:r>
      <w:r w:rsidRPr="00FF342E">
        <w:rPr>
          <w:rFonts w:eastAsia="CenturyOldStyleStd-Regular" w:cs="CenturyOldStyleStd-Regular"/>
          <w:sz w:val="20"/>
          <w:szCs w:val="20"/>
          <w:vertAlign w:val="superscript"/>
        </w:rPr>
        <w:t>2–</w:t>
      </w:r>
      <w:r w:rsidRPr="00FF342E">
        <w:rPr>
          <w:rFonts w:eastAsia="CenturyOldStyleStd-Regular" w:cs="CenturyOldStyleStd-Regular"/>
          <w:sz w:val="20"/>
          <w:szCs w:val="20"/>
        </w:rPr>
        <w:t xml:space="preserve"> is unfavorable to marine calcifying</w:t>
      </w:r>
      <w:r w:rsidRPr="00FF342E">
        <w:rPr>
          <w:rFonts w:cs="CenturyOldStyleStd-Regular"/>
          <w:sz w:val="20"/>
          <w:szCs w:val="20"/>
        </w:rPr>
        <w:t xml:space="preserve"> </w:t>
      </w:r>
      <w:r w:rsidRPr="00FF342E">
        <w:rPr>
          <w:rFonts w:eastAsia="CenturyOldStyleStd-Regular" w:cs="CenturyOldStyleStd-Regular"/>
          <w:sz w:val="20"/>
          <w:szCs w:val="20"/>
        </w:rPr>
        <w:t>organisms, which utilize CO</w:t>
      </w:r>
      <w:r w:rsidRPr="00FF342E">
        <w:rPr>
          <w:rFonts w:eastAsia="CenturyOldStyleStd-Regular" w:cs="CenturyOldStyleStd-Regular"/>
          <w:sz w:val="20"/>
          <w:szCs w:val="20"/>
          <w:vertAlign w:val="subscript"/>
        </w:rPr>
        <w:t>3</w:t>
      </w:r>
      <w:r w:rsidRPr="00FF342E">
        <w:rPr>
          <w:rFonts w:eastAsia="CenturyOldStyleStd-Regular" w:cs="CenturyOldStyleStd-Regular"/>
          <w:sz w:val="20"/>
          <w:szCs w:val="20"/>
          <w:vertAlign w:val="superscript"/>
        </w:rPr>
        <w:t>2–</w:t>
      </w:r>
      <w:r w:rsidRPr="00FF342E">
        <w:rPr>
          <w:rFonts w:eastAsia="CenturyOldStyleStd-Regular" w:cs="CenturyOldStyleStd-Regular"/>
          <w:sz w:val="20"/>
          <w:szCs w:val="20"/>
        </w:rPr>
        <w:t>, together with C</w:t>
      </w:r>
      <w:r w:rsidRPr="00FF342E">
        <w:rPr>
          <w:rFonts w:cs="CenturyOldStyleStd-Regular"/>
          <w:sz w:val="20"/>
          <w:szCs w:val="20"/>
        </w:rPr>
        <w:t>a</w:t>
      </w:r>
      <w:r w:rsidRPr="00FF342E">
        <w:rPr>
          <w:rFonts w:eastAsia="CenturyOldStyleStd-Regular" w:cs="CenturyOldStyleStd-Regular"/>
          <w:sz w:val="20"/>
          <w:szCs w:val="20"/>
          <w:vertAlign w:val="superscript"/>
        </w:rPr>
        <w:t>2</w:t>
      </w:r>
      <w:r w:rsidRPr="00FF342E">
        <w:rPr>
          <w:rFonts w:cs="CenturyOldStyleStd-Regular"/>
          <w:sz w:val="20"/>
          <w:szCs w:val="20"/>
          <w:vertAlign w:val="superscript"/>
        </w:rPr>
        <w:t>+</w:t>
      </w:r>
      <w:r w:rsidRPr="00FF342E">
        <w:rPr>
          <w:rFonts w:eastAsia="CenturyOldStyleStd-Regular" w:cs="CenturyOldStyleStd-Regular"/>
          <w:sz w:val="20"/>
          <w:szCs w:val="20"/>
        </w:rPr>
        <w:t>, to produce their calcium carbonate (CaCO</w:t>
      </w:r>
      <w:r w:rsidRPr="00FF342E">
        <w:rPr>
          <w:rFonts w:eastAsia="CenturyOldStyleStd-Regular" w:cs="CenturyOldStyleStd-Regular"/>
          <w:sz w:val="20"/>
          <w:szCs w:val="20"/>
          <w:vertAlign w:val="subscript"/>
        </w:rPr>
        <w:t>3</w:t>
      </w:r>
      <w:r w:rsidRPr="00FF342E">
        <w:rPr>
          <w:rFonts w:eastAsia="CenturyOldStyleStd-Regular" w:cs="CenturyOldStyleStd-Regular"/>
          <w:sz w:val="20"/>
          <w:szCs w:val="20"/>
        </w:rPr>
        <w:t>) shells</w:t>
      </w:r>
      <w:r w:rsidRPr="00FF342E">
        <w:rPr>
          <w:rFonts w:cs="CenturyOldStyleStd-Regular"/>
          <w:sz w:val="20"/>
          <w:szCs w:val="20"/>
        </w:rPr>
        <w:t xml:space="preserve"> </w:t>
      </w:r>
      <w:r w:rsidRPr="00FF342E">
        <w:rPr>
          <w:rFonts w:eastAsia="CenturyOldStyleStd-Regular" w:cs="CenturyOldStyleStd-Regular"/>
          <w:sz w:val="20"/>
          <w:szCs w:val="20"/>
        </w:rPr>
        <w:t>and skeletons. To evaluate dissolution and precipitation of calcium carbonate, we measur</w:t>
      </w:r>
      <w:r w:rsidRPr="00FF342E">
        <w:rPr>
          <w:rFonts w:cs="CenturyOldStyleStd-Regular" w:hint="eastAsia"/>
          <w:sz w:val="20"/>
          <w:szCs w:val="20"/>
        </w:rPr>
        <w:t>e</w:t>
      </w:r>
      <w:r w:rsidRPr="00FF342E">
        <w:rPr>
          <w:rFonts w:eastAsia="CenturyOldStyleStd-Regular" w:cs="CenturyOldStyleStd-Regular"/>
          <w:sz w:val="20"/>
          <w:szCs w:val="20"/>
        </w:rPr>
        <w:t xml:space="preserve"> </w:t>
      </w:r>
      <w:r w:rsidR="00EF261A">
        <w:rPr>
          <w:rFonts w:eastAsia="CenturyOldStyleStd-Regular" w:cs="CenturyOldStyleStd-Regular"/>
          <w:sz w:val="20"/>
          <w:szCs w:val="20"/>
        </w:rPr>
        <w:t xml:space="preserve">the </w:t>
      </w:r>
      <w:r w:rsidRPr="00FF342E">
        <w:rPr>
          <w:rFonts w:eastAsia="CenturyOldStyleStd-Regular" w:cs="CenturyOldStyleStd-Regular"/>
          <w:sz w:val="20"/>
          <w:szCs w:val="20"/>
        </w:rPr>
        <w:t xml:space="preserve">concentration of calcium in </w:t>
      </w:r>
      <w:r w:rsidRPr="00FF342E">
        <w:rPr>
          <w:rFonts w:cs="CenturyOldStyleStd-Regular" w:hint="eastAsia"/>
          <w:sz w:val="20"/>
          <w:szCs w:val="20"/>
        </w:rPr>
        <w:t>water colum</w:t>
      </w:r>
      <w:r w:rsidR="00EF261A">
        <w:rPr>
          <w:rFonts w:cs="CenturyOldStyleStd-Regular"/>
          <w:sz w:val="20"/>
          <w:szCs w:val="20"/>
        </w:rPr>
        <w:t>n</w:t>
      </w:r>
      <w:r w:rsidRPr="00FF342E">
        <w:rPr>
          <w:rFonts w:cs="CenturyOldStyleStd-Regular" w:hint="eastAsia"/>
          <w:sz w:val="20"/>
          <w:szCs w:val="20"/>
        </w:rPr>
        <w:t>s</w:t>
      </w:r>
      <w:r w:rsidRPr="00FF342E">
        <w:rPr>
          <w:rFonts w:eastAsia="CenturyOldStyleStd-Regular" w:cs="CenturyOldStyleStd-Regular"/>
          <w:sz w:val="20"/>
          <w:szCs w:val="20"/>
        </w:rPr>
        <w:t xml:space="preserve"> in the </w:t>
      </w:r>
      <w:r w:rsidRPr="00FF342E">
        <w:rPr>
          <w:rFonts w:cs="CenturyOldStyleStd-Regular"/>
          <w:sz w:val="20"/>
          <w:szCs w:val="20"/>
        </w:rPr>
        <w:t>western</w:t>
      </w:r>
      <w:r w:rsidRPr="00FF342E">
        <w:rPr>
          <w:rFonts w:eastAsia="CenturyOldStyleStd-Regular" w:cs="CenturyOldStyleStd-Regular"/>
          <w:sz w:val="20"/>
          <w:szCs w:val="20"/>
        </w:rPr>
        <w:t xml:space="preserve"> part of the Indian Ocean.</w:t>
      </w:r>
    </w:p>
    <w:p w:rsidR="00F471C7" w:rsidRPr="00FF342E" w:rsidRDefault="00F471C7" w:rsidP="00F471C7">
      <w:pPr>
        <w:autoSpaceDE w:val="0"/>
        <w:autoSpaceDN w:val="0"/>
        <w:adjustRightInd w:val="0"/>
        <w:spacing w:before="120"/>
        <w:rPr>
          <w:rFonts w:eastAsia="CenturyOldStyleStd-Regular" w:cs="CenturyOldStyleStd-Regular"/>
          <w:sz w:val="20"/>
          <w:szCs w:val="20"/>
        </w:rPr>
      </w:pPr>
      <w:r w:rsidRPr="00FF342E">
        <w:rPr>
          <w:rFonts w:eastAsia="CenturyOldStyleStd-Bold" w:cs="CenturyOldStyleStd-Bold" w:hint="eastAsia"/>
          <w:bCs/>
          <w:sz w:val="20"/>
          <w:szCs w:val="20"/>
          <w:u w:val="single"/>
        </w:rPr>
        <w:t>Sampling</w:t>
      </w:r>
    </w:p>
    <w:p w:rsidR="00F471C7" w:rsidRDefault="00F471C7" w:rsidP="00F471C7">
      <w:pPr>
        <w:autoSpaceDE w:val="0"/>
        <w:autoSpaceDN w:val="0"/>
        <w:adjustRightInd w:val="0"/>
        <w:rPr>
          <w:rFonts w:cs="TimesNewRomanPSMT"/>
          <w:sz w:val="20"/>
          <w:szCs w:val="20"/>
        </w:rPr>
      </w:pPr>
      <w:r w:rsidRPr="00FF342E">
        <w:rPr>
          <w:rFonts w:cs="TimesNewRomanPSMT"/>
          <w:sz w:val="20"/>
          <w:szCs w:val="20"/>
        </w:rPr>
        <w:t xml:space="preserve">The samples were collected </w:t>
      </w:r>
      <w:r w:rsidRPr="00FF342E">
        <w:rPr>
          <w:rFonts w:cs="TimesNewRomanPSMT" w:hint="eastAsia"/>
          <w:sz w:val="20"/>
          <w:szCs w:val="20"/>
        </w:rPr>
        <w:t>into</w:t>
      </w:r>
      <w:r w:rsidRPr="00FF342E">
        <w:rPr>
          <w:rFonts w:cs="TimesNewRomanPSMT"/>
          <w:sz w:val="20"/>
          <w:szCs w:val="20"/>
        </w:rPr>
        <w:t xml:space="preserve"> 60 mL of HDPE bottles from </w:t>
      </w:r>
      <w:proofErr w:type="spellStart"/>
      <w:r w:rsidRPr="00FF342E">
        <w:rPr>
          <w:rFonts w:cs="TimesNewRomanPSMT" w:hint="eastAsia"/>
          <w:sz w:val="20"/>
          <w:szCs w:val="20"/>
        </w:rPr>
        <w:t>Niskin</w:t>
      </w:r>
      <w:proofErr w:type="spellEnd"/>
      <w:r w:rsidRPr="00FF342E">
        <w:rPr>
          <w:rFonts w:cs="TimesNewRomanPSMT" w:hint="eastAsia"/>
          <w:sz w:val="20"/>
          <w:szCs w:val="20"/>
        </w:rPr>
        <w:t xml:space="preserve"> bottles attached to the</w:t>
      </w:r>
      <w:r w:rsidRPr="00FF342E">
        <w:rPr>
          <w:rFonts w:cs="TimesNewRomanPSMT"/>
          <w:sz w:val="20"/>
          <w:szCs w:val="20"/>
        </w:rPr>
        <w:t xml:space="preserve"> CTD </w:t>
      </w:r>
      <w:r w:rsidRPr="00FF342E">
        <w:rPr>
          <w:rFonts w:cs="TimesNewRomanPSMT" w:hint="eastAsia"/>
          <w:sz w:val="20"/>
          <w:szCs w:val="20"/>
        </w:rPr>
        <w:t>system</w:t>
      </w:r>
      <w:r w:rsidRPr="00FF342E">
        <w:rPr>
          <w:rFonts w:cs="TimesNewRomanPSMT"/>
          <w:sz w:val="20"/>
          <w:szCs w:val="20"/>
        </w:rPr>
        <w:t xml:space="preserve">. </w:t>
      </w:r>
      <w:r w:rsidRPr="00FF342E">
        <w:rPr>
          <w:rFonts w:cs="TimesNewRomanPSMT" w:hint="eastAsia"/>
          <w:sz w:val="20"/>
          <w:szCs w:val="20"/>
        </w:rPr>
        <w:t>T</w:t>
      </w:r>
      <w:r w:rsidRPr="00FF342E">
        <w:rPr>
          <w:rFonts w:cs="TimesNewRomanPSMT"/>
          <w:sz w:val="20"/>
          <w:szCs w:val="20"/>
        </w:rPr>
        <w:t>h</w:t>
      </w:r>
      <w:r w:rsidRPr="00FF342E">
        <w:rPr>
          <w:rFonts w:cs="TimesNewRomanPSMT" w:hint="eastAsia"/>
          <w:sz w:val="20"/>
          <w:szCs w:val="20"/>
        </w:rPr>
        <w:t xml:space="preserve">e </w:t>
      </w:r>
      <w:r>
        <w:rPr>
          <w:rFonts w:cs="TimesNewRomanPSMT"/>
          <w:sz w:val="20"/>
          <w:szCs w:val="20"/>
        </w:rPr>
        <w:t>s</w:t>
      </w:r>
      <w:r w:rsidRPr="00FF342E">
        <w:rPr>
          <w:rFonts w:cs="TimesNewRomanPSMT" w:hint="eastAsia"/>
          <w:sz w:val="20"/>
          <w:szCs w:val="20"/>
        </w:rPr>
        <w:t>ampling was made at 11 stations, with a few replicates</w:t>
      </w:r>
      <w:r>
        <w:rPr>
          <w:rFonts w:cs="TimesNewRomanPSMT" w:hint="eastAsia"/>
          <w:sz w:val="20"/>
          <w:szCs w:val="20"/>
        </w:rPr>
        <w:t xml:space="preserve"> at individual stations (see Fi</w:t>
      </w:r>
      <w:r w:rsidRPr="00FF342E">
        <w:rPr>
          <w:rFonts w:cs="TimesNewRomanPSMT" w:hint="eastAsia"/>
          <w:sz w:val="20"/>
          <w:szCs w:val="20"/>
        </w:rPr>
        <w:t>gure</w:t>
      </w:r>
      <w:r>
        <w:rPr>
          <w:rFonts w:cs="TimesNewRomanPSMT"/>
          <w:sz w:val="20"/>
          <w:szCs w:val="20"/>
        </w:rPr>
        <w:t xml:space="preserve"> 25</w:t>
      </w:r>
      <w:r w:rsidR="00BF12D8">
        <w:rPr>
          <w:rFonts w:cs="TimesNewRomanPSMT"/>
          <w:sz w:val="20"/>
          <w:szCs w:val="20"/>
        </w:rPr>
        <w:t>a</w:t>
      </w:r>
      <w:r w:rsidRPr="00FF342E">
        <w:rPr>
          <w:rFonts w:cs="TimesNewRomanPSMT" w:hint="eastAsia"/>
          <w:sz w:val="20"/>
          <w:szCs w:val="20"/>
        </w:rPr>
        <w:t xml:space="preserve">). In total, 265 samples </w:t>
      </w:r>
      <w:r>
        <w:rPr>
          <w:rFonts w:cs="TimesNewRomanPSMT"/>
          <w:sz w:val="20"/>
          <w:szCs w:val="20"/>
        </w:rPr>
        <w:t>w</w:t>
      </w:r>
      <w:r w:rsidRPr="00FF342E">
        <w:rPr>
          <w:rFonts w:cs="TimesNewRomanPSMT" w:hint="eastAsia"/>
          <w:sz w:val="20"/>
          <w:szCs w:val="20"/>
        </w:rPr>
        <w:t xml:space="preserve">ere collected during the cruise. </w:t>
      </w:r>
      <w:r w:rsidRPr="00FF342E">
        <w:rPr>
          <w:rFonts w:cs="TimesNewRomanPSMT"/>
          <w:sz w:val="20"/>
          <w:szCs w:val="20"/>
        </w:rPr>
        <w:t xml:space="preserve">The samples </w:t>
      </w:r>
      <w:r w:rsidR="001307BD">
        <w:rPr>
          <w:rFonts w:cs="TimesNewRomanPSMT"/>
          <w:sz w:val="20"/>
          <w:szCs w:val="20"/>
        </w:rPr>
        <w:t>were</w:t>
      </w:r>
      <w:r w:rsidRPr="00FF342E">
        <w:rPr>
          <w:rFonts w:cs="TimesNewRomanPSMT"/>
          <w:sz w:val="20"/>
          <w:szCs w:val="20"/>
        </w:rPr>
        <w:t xml:space="preserve"> stored </w:t>
      </w:r>
      <w:r w:rsidRPr="00FF342E">
        <w:rPr>
          <w:rFonts w:eastAsia="CenturyOldStyleStd-Regular" w:cs="CenturyOldStyleStd-Regular"/>
          <w:sz w:val="20"/>
          <w:szCs w:val="20"/>
        </w:rPr>
        <w:t xml:space="preserve">for </w:t>
      </w:r>
      <w:r w:rsidR="001307BD">
        <w:rPr>
          <w:rFonts w:cs="CenturyOldStyleStd-Regular"/>
          <w:sz w:val="20"/>
          <w:szCs w:val="20"/>
        </w:rPr>
        <w:t>5</w:t>
      </w:r>
      <w:r w:rsidRPr="00FF342E">
        <w:rPr>
          <w:rFonts w:cs="CenturyOldStyleStd-Regular"/>
          <w:sz w:val="20"/>
          <w:szCs w:val="20"/>
        </w:rPr>
        <w:t xml:space="preserve"> months until shipped back to </w:t>
      </w:r>
      <w:r w:rsidR="00EF261A">
        <w:rPr>
          <w:rFonts w:cs="CenturyOldStyleStd-Regular"/>
          <w:sz w:val="20"/>
          <w:szCs w:val="20"/>
        </w:rPr>
        <w:t xml:space="preserve">the </w:t>
      </w:r>
      <w:r w:rsidRPr="00FF342E">
        <w:rPr>
          <w:rFonts w:cs="CenturyOldStyleStd-Regular"/>
          <w:sz w:val="20"/>
          <w:szCs w:val="20"/>
        </w:rPr>
        <w:t>onshore laboratory</w:t>
      </w:r>
      <w:r w:rsidRPr="00FF342E">
        <w:rPr>
          <w:rFonts w:cs="TimesNewRomanPSMT"/>
          <w:sz w:val="20"/>
          <w:szCs w:val="20"/>
        </w:rPr>
        <w:t xml:space="preserve"> for analysis. </w:t>
      </w:r>
    </w:p>
    <w:p w:rsidR="00F471C7" w:rsidRPr="009F5499" w:rsidRDefault="00F471C7" w:rsidP="00F471C7">
      <w:pPr>
        <w:autoSpaceDE w:val="0"/>
        <w:autoSpaceDN w:val="0"/>
        <w:adjustRightInd w:val="0"/>
        <w:spacing w:before="120"/>
        <w:rPr>
          <w:rFonts w:cs="CenturyOldStyleStd-Regular"/>
          <w:sz w:val="20"/>
          <w:szCs w:val="20"/>
          <w:u w:val="single"/>
        </w:rPr>
      </w:pPr>
      <w:r w:rsidRPr="009F5499">
        <w:rPr>
          <w:rFonts w:cs="CenturyOldStyleStd-Regular" w:hint="eastAsia"/>
          <w:sz w:val="20"/>
          <w:szCs w:val="20"/>
          <w:u w:val="single"/>
        </w:rPr>
        <w:t>Analytical method</w:t>
      </w:r>
    </w:p>
    <w:p w:rsidR="00F471C7" w:rsidRDefault="00F471C7" w:rsidP="00F471C7">
      <w:pPr>
        <w:autoSpaceDE w:val="0"/>
        <w:autoSpaceDN w:val="0"/>
        <w:adjustRightInd w:val="0"/>
        <w:rPr>
          <w:rFonts w:cs="CenturyOldStyleStd-Regular"/>
          <w:sz w:val="20"/>
          <w:szCs w:val="20"/>
        </w:rPr>
      </w:pPr>
      <w:r w:rsidRPr="00FF342E">
        <w:rPr>
          <w:rFonts w:cs="TimesNewRomanPSMT"/>
          <w:sz w:val="20"/>
          <w:szCs w:val="20"/>
        </w:rPr>
        <w:t xml:space="preserve">The measurement </w:t>
      </w:r>
      <w:r w:rsidR="001307BD">
        <w:rPr>
          <w:rFonts w:cs="TimesNewRomanPSMT"/>
          <w:sz w:val="20"/>
          <w:szCs w:val="20"/>
        </w:rPr>
        <w:t>was</w:t>
      </w:r>
      <w:r w:rsidRPr="00FF342E">
        <w:rPr>
          <w:rFonts w:cs="TimesNewRomanPSMT" w:hint="eastAsia"/>
          <w:sz w:val="20"/>
          <w:szCs w:val="20"/>
        </w:rPr>
        <w:t xml:space="preserve"> made in a laboratory on land. The </w:t>
      </w:r>
      <w:r w:rsidRPr="00FF342E">
        <w:rPr>
          <w:rFonts w:cs="TimesNewRomanPSMT"/>
          <w:sz w:val="20"/>
          <w:szCs w:val="20"/>
        </w:rPr>
        <w:t xml:space="preserve">method </w:t>
      </w:r>
      <w:r w:rsidR="001307BD">
        <w:rPr>
          <w:rFonts w:cs="TimesNewRomanPSMT"/>
          <w:sz w:val="20"/>
          <w:szCs w:val="20"/>
        </w:rPr>
        <w:t>was</w:t>
      </w:r>
      <w:r w:rsidRPr="00FF342E">
        <w:rPr>
          <w:rFonts w:cs="TimesNewRomanPSMT" w:hint="eastAsia"/>
          <w:sz w:val="20"/>
          <w:szCs w:val="20"/>
        </w:rPr>
        <w:t xml:space="preserve"> </w:t>
      </w:r>
      <w:r w:rsidRPr="00FF342E">
        <w:rPr>
          <w:rFonts w:cs="TimesNewRomanPSMT"/>
          <w:sz w:val="20"/>
          <w:szCs w:val="20"/>
        </w:rPr>
        <w:t>based on photometr</w:t>
      </w:r>
      <w:r w:rsidRPr="00FF342E">
        <w:rPr>
          <w:rFonts w:cs="TimesNewRomanPSMT" w:hint="eastAsia"/>
          <w:sz w:val="20"/>
          <w:szCs w:val="20"/>
        </w:rPr>
        <w:t>y</w:t>
      </w:r>
      <w:r w:rsidRPr="00FF342E">
        <w:rPr>
          <w:rFonts w:cs="TimesNewRomanPSMT"/>
          <w:sz w:val="20"/>
          <w:szCs w:val="20"/>
        </w:rPr>
        <w:t xml:space="preserve"> </w:t>
      </w:r>
      <w:r w:rsidRPr="00FF342E">
        <w:rPr>
          <w:rFonts w:cs="TimesNewRomanPSMT" w:hint="eastAsia"/>
          <w:sz w:val="20"/>
          <w:szCs w:val="20"/>
        </w:rPr>
        <w:t>proposed</w:t>
      </w:r>
      <w:r w:rsidRPr="00FF342E">
        <w:rPr>
          <w:rFonts w:cs="TimesNewRomanPSMT"/>
          <w:sz w:val="20"/>
          <w:szCs w:val="20"/>
        </w:rPr>
        <w:t xml:space="preserve"> by </w:t>
      </w:r>
      <w:proofErr w:type="spellStart"/>
      <w:r w:rsidRPr="00FF342E">
        <w:rPr>
          <w:rFonts w:cs="TimesNewRomanPSMT"/>
          <w:sz w:val="20"/>
          <w:szCs w:val="20"/>
        </w:rPr>
        <w:t>Culkin</w:t>
      </w:r>
      <w:proofErr w:type="spellEnd"/>
      <w:r w:rsidRPr="00FF342E">
        <w:rPr>
          <w:rFonts w:cs="TimesNewRomanPSMT"/>
          <w:sz w:val="20"/>
          <w:szCs w:val="20"/>
        </w:rPr>
        <w:t xml:space="preserve"> and Cox (1966)</w:t>
      </w:r>
      <w:r w:rsidRPr="00FF342E">
        <w:rPr>
          <w:rFonts w:cs="TimesNewRomanPSMT" w:hint="eastAsia"/>
          <w:sz w:val="20"/>
          <w:szCs w:val="20"/>
        </w:rPr>
        <w:t>. We use</w:t>
      </w:r>
      <w:r w:rsidR="001307BD">
        <w:rPr>
          <w:rFonts w:cs="TimesNewRomanPSMT"/>
          <w:sz w:val="20"/>
          <w:szCs w:val="20"/>
        </w:rPr>
        <w:t>d</w:t>
      </w:r>
      <w:r w:rsidRPr="00FF342E">
        <w:rPr>
          <w:rFonts w:cs="TimesNewRomanPSMT" w:hint="eastAsia"/>
          <w:sz w:val="20"/>
          <w:szCs w:val="20"/>
        </w:rPr>
        <w:t xml:space="preserve"> </w:t>
      </w:r>
      <w:r w:rsidRPr="00FF342E">
        <w:rPr>
          <w:rFonts w:eastAsia="CenturyOldStyleStd-Regular" w:cs="CenturyOldStyleStd-Regular"/>
          <w:sz w:val="20"/>
          <w:szCs w:val="20"/>
        </w:rPr>
        <w:t>a modified Dissolved Oxygen Titrator DOT-01 (Kimoto Electronic</w:t>
      </w:r>
      <w:r w:rsidRPr="00FF342E">
        <w:rPr>
          <w:rFonts w:cs="CenturyOldStyleStd-Regular"/>
          <w:sz w:val="20"/>
          <w:szCs w:val="20"/>
        </w:rPr>
        <w:t xml:space="preserve"> </w:t>
      </w:r>
      <w:r w:rsidRPr="00FF342E">
        <w:rPr>
          <w:rFonts w:eastAsia="CenturyOldStyleStd-Regular" w:cs="CenturyOldStyleStd-Regular"/>
          <w:sz w:val="20"/>
          <w:szCs w:val="20"/>
        </w:rPr>
        <w:t>Co. Ltd.)</w:t>
      </w:r>
      <w:r w:rsidRPr="00FF342E">
        <w:rPr>
          <w:rFonts w:cs="CenturyOldStyleStd-Regular"/>
          <w:sz w:val="20"/>
          <w:szCs w:val="20"/>
        </w:rPr>
        <w:t>,</w:t>
      </w:r>
      <w:r w:rsidRPr="00FF342E">
        <w:rPr>
          <w:rFonts w:eastAsia="CenturyOldStyleStd-Regular" w:cs="CenturyOldStyleStd-Regular"/>
          <w:sz w:val="20"/>
          <w:szCs w:val="20"/>
        </w:rPr>
        <w:t xml:space="preserve"> </w:t>
      </w:r>
      <w:r w:rsidRPr="00FF342E">
        <w:rPr>
          <w:rFonts w:cs="CenturyOldStyleStd-Regular"/>
          <w:sz w:val="20"/>
          <w:szCs w:val="20"/>
        </w:rPr>
        <w:t>which b</w:t>
      </w:r>
      <w:r w:rsidRPr="00FF342E">
        <w:rPr>
          <w:rFonts w:eastAsia="CenturyOldStyleStd-Regular" w:cs="CenturyOldStyleStd-Regular"/>
          <w:sz w:val="20"/>
          <w:szCs w:val="20"/>
        </w:rPr>
        <w:t xml:space="preserve">andpass filter </w:t>
      </w:r>
      <w:r w:rsidRPr="00FF342E">
        <w:rPr>
          <w:rFonts w:cs="CenturyOldStyleStd-Regular" w:hint="eastAsia"/>
          <w:sz w:val="20"/>
          <w:szCs w:val="20"/>
        </w:rPr>
        <w:t>i</w:t>
      </w:r>
      <w:r w:rsidRPr="00FF342E">
        <w:rPr>
          <w:rFonts w:eastAsia="CenturyOldStyleStd-Regular" w:cs="CenturyOldStyleStd-Regular"/>
          <w:sz w:val="20"/>
          <w:szCs w:val="20"/>
        </w:rPr>
        <w:t>s replaced to f0=620nm.</w:t>
      </w:r>
      <w:r w:rsidRPr="00FF342E">
        <w:rPr>
          <w:rFonts w:cs="CenturyOldStyleStd-Regular"/>
          <w:sz w:val="20"/>
          <w:szCs w:val="20"/>
        </w:rPr>
        <w:t xml:space="preserve"> </w:t>
      </w:r>
      <w:r w:rsidR="00A879B2">
        <w:rPr>
          <w:rFonts w:cs="CenturyOldStyleStd-Regular"/>
          <w:sz w:val="20"/>
          <w:szCs w:val="20"/>
        </w:rPr>
        <w:t xml:space="preserve">Approximately </w:t>
      </w:r>
      <w:r w:rsidR="00D233A0">
        <w:rPr>
          <w:rFonts w:cs="CenturyOldStyleStd-Regular"/>
          <w:sz w:val="20"/>
          <w:szCs w:val="20"/>
        </w:rPr>
        <w:t>20 mM of EGTA</w:t>
      </w:r>
      <w:r w:rsidR="00D233A0" w:rsidRPr="00D233A0">
        <w:t xml:space="preserve"> </w:t>
      </w:r>
      <w:r w:rsidR="00D233A0" w:rsidRPr="00D233A0">
        <w:rPr>
          <w:rFonts w:cs="CenturyOldStyleStd-Regular"/>
          <w:sz w:val="20"/>
          <w:szCs w:val="20"/>
        </w:rPr>
        <w:t xml:space="preserve">(Ethylene Glycol </w:t>
      </w:r>
      <w:proofErr w:type="spellStart"/>
      <w:r w:rsidR="00D233A0" w:rsidRPr="00D233A0">
        <w:rPr>
          <w:rFonts w:cs="CenturyOldStyleStd-Regular"/>
          <w:sz w:val="20"/>
          <w:szCs w:val="20"/>
        </w:rPr>
        <w:t>Tetraacetic</w:t>
      </w:r>
      <w:proofErr w:type="spellEnd"/>
      <w:r w:rsidR="00D233A0" w:rsidRPr="00D233A0">
        <w:rPr>
          <w:rFonts w:cs="CenturyOldStyleStd-Regular"/>
          <w:sz w:val="20"/>
          <w:szCs w:val="20"/>
        </w:rPr>
        <w:t xml:space="preserve"> Acid)</w:t>
      </w:r>
      <w:r w:rsidR="00D233A0">
        <w:rPr>
          <w:rFonts w:cs="CenturyOldStyleStd-Regular"/>
          <w:sz w:val="20"/>
          <w:szCs w:val="20"/>
        </w:rPr>
        <w:t xml:space="preserve"> solution was used as a titrant. </w:t>
      </w:r>
      <w:r w:rsidRPr="00FF342E">
        <w:rPr>
          <w:rFonts w:eastAsia="CenturyOldStyleStd-Regular" w:cs="CenturyOldStyleStd-Regular"/>
          <w:sz w:val="20"/>
          <w:szCs w:val="20"/>
        </w:rPr>
        <w:t xml:space="preserve">The titrant </w:t>
      </w:r>
      <w:r w:rsidR="001307BD">
        <w:rPr>
          <w:rFonts w:cs="CenturyOldStyleStd-Regular"/>
          <w:sz w:val="20"/>
          <w:szCs w:val="20"/>
        </w:rPr>
        <w:t>was</w:t>
      </w:r>
      <w:r w:rsidRPr="00FF342E">
        <w:rPr>
          <w:rFonts w:eastAsia="CenturyOldStyleStd-Regular" w:cs="CenturyOldStyleStd-Regular"/>
          <w:sz w:val="20"/>
          <w:szCs w:val="20"/>
        </w:rPr>
        <w:t xml:space="preserve"> calibrated</w:t>
      </w:r>
      <w:r w:rsidR="00D233A0">
        <w:rPr>
          <w:rFonts w:eastAsia="CenturyOldStyleStd-Regular" w:cs="CenturyOldStyleStd-Regular"/>
          <w:sz w:val="20"/>
          <w:szCs w:val="20"/>
        </w:rPr>
        <w:t xml:space="preserve"> several times</w:t>
      </w:r>
      <w:r w:rsidRPr="00FF342E">
        <w:rPr>
          <w:rFonts w:eastAsia="CenturyOldStyleStd-Regular" w:cs="CenturyOldStyleStd-Regular"/>
          <w:sz w:val="20"/>
          <w:szCs w:val="20"/>
        </w:rPr>
        <w:t xml:space="preserve"> by </w:t>
      </w:r>
      <w:r w:rsidR="00922781">
        <w:rPr>
          <w:rFonts w:eastAsia="CenturyOldStyleStd-Regular" w:cs="CenturyOldStyleStd-Regular"/>
          <w:sz w:val="20"/>
          <w:szCs w:val="20"/>
        </w:rPr>
        <w:t>in-house Ca-standard solution</w:t>
      </w:r>
      <w:r w:rsidR="001307BD">
        <w:rPr>
          <w:rFonts w:eastAsia="CenturyOldStyleStd-Regular" w:cs="CenturyOldStyleStd-Regular"/>
          <w:sz w:val="20"/>
          <w:szCs w:val="20"/>
        </w:rPr>
        <w:t xml:space="preserve"> whose Ca-source was pure CaCO</w:t>
      </w:r>
      <w:r w:rsidR="001307BD" w:rsidRPr="001307BD">
        <w:rPr>
          <w:rFonts w:eastAsia="CenturyOldStyleStd-Regular" w:cs="CenturyOldStyleStd-Regular"/>
          <w:sz w:val="20"/>
          <w:szCs w:val="20"/>
          <w:vertAlign w:val="subscript"/>
        </w:rPr>
        <w:t>3</w:t>
      </w:r>
      <w:r w:rsidR="001307BD">
        <w:rPr>
          <w:rFonts w:eastAsia="CenturyOldStyleStd-Regular" w:cs="CenturyOldStyleStd-Regular"/>
          <w:sz w:val="20"/>
          <w:szCs w:val="20"/>
        </w:rPr>
        <w:t xml:space="preserve"> produced by NMIJ (CRM 3013-a)</w:t>
      </w:r>
      <w:r w:rsidRPr="00FF342E">
        <w:rPr>
          <w:rFonts w:eastAsia="CenturyOldStyleStd-Regular" w:cs="CenturyOldStyleStd-Regular"/>
          <w:sz w:val="20"/>
          <w:szCs w:val="20"/>
        </w:rPr>
        <w:t>.</w:t>
      </w:r>
    </w:p>
    <w:p w:rsidR="00F471C7" w:rsidRPr="009F5499" w:rsidRDefault="00F471C7" w:rsidP="00F471C7">
      <w:pPr>
        <w:autoSpaceDE w:val="0"/>
        <w:autoSpaceDN w:val="0"/>
        <w:adjustRightInd w:val="0"/>
        <w:spacing w:before="120"/>
        <w:rPr>
          <w:rFonts w:cs="CenturyOldStyleStd-Regular"/>
          <w:sz w:val="20"/>
          <w:szCs w:val="20"/>
          <w:u w:val="single"/>
        </w:rPr>
      </w:pPr>
      <w:r w:rsidRPr="009F5499">
        <w:rPr>
          <w:rFonts w:eastAsia="CenturyOldStyleStd-Bold" w:cs="CenturyOldStyleStd-Bold"/>
          <w:bCs/>
          <w:sz w:val="20"/>
          <w:szCs w:val="20"/>
          <w:u w:val="single"/>
        </w:rPr>
        <w:t>Results</w:t>
      </w:r>
    </w:p>
    <w:p w:rsidR="00B66060" w:rsidRPr="00B66060" w:rsidRDefault="00B66060" w:rsidP="00B403B7">
      <w:pPr>
        <w:autoSpaceDE w:val="0"/>
        <w:autoSpaceDN w:val="0"/>
        <w:adjustRightInd w:val="0"/>
        <w:spacing w:before="120"/>
        <w:rPr>
          <w:rFonts w:eastAsiaTheme="minorEastAsia" w:cs="CenturyOldStyleStd-Regular"/>
          <w:sz w:val="20"/>
          <w:szCs w:val="20"/>
          <w:lang w:eastAsia="ja-JP"/>
        </w:rPr>
      </w:pPr>
      <w:r>
        <w:rPr>
          <w:rFonts w:eastAsiaTheme="minorEastAsia" w:cs="CenturyOldStyleStd-Regular"/>
          <w:sz w:val="20"/>
          <w:szCs w:val="20"/>
          <w:lang w:eastAsia="ja-JP"/>
        </w:rPr>
        <w:t xml:space="preserve">Results of </w:t>
      </w:r>
      <w:r w:rsidR="00023F44">
        <w:rPr>
          <w:rFonts w:eastAsiaTheme="minorEastAsia" w:cs="CenturyOldStyleStd-Regular"/>
          <w:sz w:val="20"/>
          <w:szCs w:val="20"/>
          <w:lang w:eastAsia="ja-JP"/>
        </w:rPr>
        <w:t xml:space="preserve">calibrations are shown </w:t>
      </w:r>
      <w:r w:rsidR="00EF261A">
        <w:rPr>
          <w:rFonts w:eastAsiaTheme="minorEastAsia" w:cs="CenturyOldStyleStd-Regular"/>
          <w:sz w:val="20"/>
          <w:szCs w:val="20"/>
          <w:lang w:eastAsia="ja-JP"/>
        </w:rPr>
        <w:t>in</w:t>
      </w:r>
      <w:r w:rsidR="00023F44">
        <w:rPr>
          <w:rFonts w:eastAsiaTheme="minorEastAsia" w:cs="CenturyOldStyleStd-Regular"/>
          <w:sz w:val="20"/>
          <w:szCs w:val="20"/>
          <w:lang w:eastAsia="ja-JP"/>
        </w:rPr>
        <w:t xml:space="preserve"> </w:t>
      </w:r>
      <w:r w:rsidR="00EF261A">
        <w:rPr>
          <w:rFonts w:eastAsiaTheme="minorEastAsia" w:cs="CenturyOldStyleStd-Regular"/>
          <w:sz w:val="20"/>
          <w:szCs w:val="20"/>
          <w:lang w:eastAsia="ja-JP"/>
        </w:rPr>
        <w:t>T</w:t>
      </w:r>
      <w:r w:rsidR="00023F44">
        <w:rPr>
          <w:rFonts w:eastAsiaTheme="minorEastAsia" w:cs="CenturyOldStyleStd-Regular"/>
          <w:sz w:val="20"/>
          <w:szCs w:val="20"/>
          <w:lang w:eastAsia="ja-JP"/>
        </w:rPr>
        <w:t xml:space="preserve">able </w:t>
      </w:r>
      <w:r w:rsidR="00BF12D8">
        <w:rPr>
          <w:rFonts w:eastAsiaTheme="minorEastAsia" w:cs="CenturyOldStyleStd-Regular"/>
          <w:sz w:val="20"/>
          <w:szCs w:val="20"/>
          <w:lang w:eastAsia="ja-JP"/>
        </w:rPr>
        <w:t xml:space="preserve">25 </w:t>
      </w:r>
      <w:r w:rsidR="00023F44">
        <w:rPr>
          <w:rFonts w:eastAsiaTheme="minorEastAsia" w:cs="CenturyOldStyleStd-Regular"/>
          <w:sz w:val="20"/>
          <w:szCs w:val="20"/>
          <w:lang w:eastAsia="ja-JP"/>
        </w:rPr>
        <w:t xml:space="preserve">and </w:t>
      </w:r>
      <w:r w:rsidR="00EF261A">
        <w:rPr>
          <w:rFonts w:eastAsiaTheme="minorEastAsia" w:cs="CenturyOldStyleStd-Regular"/>
          <w:sz w:val="20"/>
          <w:szCs w:val="20"/>
          <w:lang w:eastAsia="ja-JP"/>
        </w:rPr>
        <w:t>F</w:t>
      </w:r>
      <w:r w:rsidR="00023F44">
        <w:rPr>
          <w:rFonts w:eastAsiaTheme="minorEastAsia" w:cs="CenturyOldStyleStd-Regular"/>
          <w:sz w:val="20"/>
          <w:szCs w:val="20"/>
          <w:lang w:eastAsia="ja-JP"/>
        </w:rPr>
        <w:t xml:space="preserve">igure </w:t>
      </w:r>
      <w:r w:rsidR="00BF12D8">
        <w:rPr>
          <w:rFonts w:eastAsiaTheme="minorEastAsia" w:cs="CenturyOldStyleStd-Regular"/>
          <w:sz w:val="20"/>
          <w:szCs w:val="20"/>
          <w:lang w:eastAsia="ja-JP"/>
        </w:rPr>
        <w:t xml:space="preserve">25b </w:t>
      </w:r>
      <w:r w:rsidR="00023F44">
        <w:rPr>
          <w:rFonts w:eastAsiaTheme="minorEastAsia" w:cs="CenturyOldStyleStd-Regular"/>
          <w:sz w:val="20"/>
          <w:szCs w:val="20"/>
          <w:lang w:eastAsia="ja-JP"/>
        </w:rPr>
        <w:t xml:space="preserve">with the concentrations of </w:t>
      </w:r>
      <w:r w:rsidR="00DF481E">
        <w:rPr>
          <w:rFonts w:eastAsiaTheme="minorEastAsia" w:cs="CenturyOldStyleStd-Regular"/>
          <w:sz w:val="20"/>
          <w:szCs w:val="20"/>
          <w:lang w:eastAsia="ja-JP"/>
        </w:rPr>
        <w:t>the titrant</w:t>
      </w:r>
      <w:r w:rsidR="00023F44">
        <w:rPr>
          <w:rFonts w:eastAsiaTheme="minorEastAsia" w:cs="CenturyOldStyleStd-Regular"/>
          <w:sz w:val="20"/>
          <w:szCs w:val="20"/>
          <w:lang w:eastAsia="ja-JP"/>
        </w:rPr>
        <w:t>.</w:t>
      </w:r>
      <w:r w:rsidR="00C30394">
        <w:rPr>
          <w:rFonts w:eastAsiaTheme="minorEastAsia" w:cs="CenturyOldStyleStd-Regular"/>
          <w:sz w:val="20"/>
          <w:szCs w:val="20"/>
          <w:lang w:eastAsia="ja-JP"/>
        </w:rPr>
        <w:t xml:space="preserve"> </w:t>
      </w:r>
      <w:r w:rsidR="00DD6022" w:rsidRPr="00DD6022">
        <w:rPr>
          <w:rFonts w:eastAsiaTheme="minorEastAsia" w:cs="CenturyOldStyleStd-Regular"/>
          <w:sz w:val="20"/>
          <w:szCs w:val="20"/>
          <w:lang w:eastAsia="ja-JP"/>
        </w:rPr>
        <w:t xml:space="preserve">The total number of the </w:t>
      </w:r>
      <w:r w:rsidR="00602C58">
        <w:rPr>
          <w:rFonts w:eastAsiaTheme="minorEastAsia" w:cs="CenturyOldStyleStd-Regular"/>
          <w:sz w:val="20"/>
          <w:szCs w:val="20"/>
          <w:lang w:eastAsia="ja-JP"/>
        </w:rPr>
        <w:t>replicate</w:t>
      </w:r>
      <w:r w:rsidR="00DD6022" w:rsidRPr="00DD6022">
        <w:rPr>
          <w:rFonts w:eastAsiaTheme="minorEastAsia" w:cs="CenturyOldStyleStd-Regular"/>
          <w:sz w:val="20"/>
          <w:szCs w:val="20"/>
          <w:lang w:eastAsia="ja-JP"/>
        </w:rPr>
        <w:t xml:space="preserve"> sample pairs in good measurement (flagged 2)</w:t>
      </w:r>
      <w:r w:rsidR="00DD6022">
        <w:rPr>
          <w:rFonts w:eastAsiaTheme="minorEastAsia" w:cs="CenturyOldStyleStd-Regular"/>
          <w:sz w:val="20"/>
          <w:szCs w:val="20"/>
          <w:lang w:eastAsia="ja-JP"/>
        </w:rPr>
        <w:t xml:space="preserve"> was 9, and its</w:t>
      </w:r>
      <w:r w:rsidR="00CA7510">
        <w:rPr>
          <w:rFonts w:eastAsiaTheme="minorEastAsia" w:cs="CenturyOldStyleStd-Regular"/>
          <w:sz w:val="20"/>
          <w:szCs w:val="20"/>
          <w:lang w:eastAsia="ja-JP"/>
        </w:rPr>
        <w:t xml:space="preserve"> standard deviation </w:t>
      </w:r>
      <w:r w:rsidR="00DD6022">
        <w:rPr>
          <w:rFonts w:eastAsiaTheme="minorEastAsia" w:cs="CenturyOldStyleStd-Regular"/>
          <w:sz w:val="20"/>
          <w:szCs w:val="20"/>
          <w:lang w:eastAsia="ja-JP"/>
        </w:rPr>
        <w:t xml:space="preserve">was 0.0177 mmol/kg </w:t>
      </w:r>
      <w:r w:rsidR="00DD6022" w:rsidRPr="00DD6022">
        <w:rPr>
          <w:rFonts w:eastAsiaTheme="minorEastAsia" w:cs="CenturyOldStyleStd-Regular"/>
          <w:sz w:val="20"/>
          <w:szCs w:val="20"/>
          <w:lang w:eastAsia="ja-JP"/>
        </w:rPr>
        <w:t>calculated by a</w:t>
      </w:r>
      <w:r w:rsidR="00DD6022">
        <w:rPr>
          <w:rFonts w:eastAsiaTheme="minorEastAsia" w:cs="CenturyOldStyleStd-Regular"/>
          <w:sz w:val="20"/>
          <w:szCs w:val="20"/>
          <w:lang w:eastAsia="ja-JP"/>
        </w:rPr>
        <w:t xml:space="preserve"> </w:t>
      </w:r>
      <w:r w:rsidR="00DD6022" w:rsidRPr="00DD6022">
        <w:rPr>
          <w:rFonts w:eastAsiaTheme="minorEastAsia" w:cs="CenturyOldStyleStd-Regular"/>
          <w:sz w:val="20"/>
          <w:szCs w:val="20"/>
          <w:lang w:eastAsia="ja-JP"/>
        </w:rPr>
        <w:t>procedure (SOP23) in DOE (1994).</w:t>
      </w:r>
      <w:r>
        <w:rPr>
          <w:rFonts w:eastAsiaTheme="minorEastAsia" w:cs="CenturyOldStyleStd-Regular"/>
          <w:sz w:val="20"/>
          <w:szCs w:val="20"/>
          <w:lang w:eastAsia="ja-JP"/>
        </w:rPr>
        <w:t xml:space="preserve"> </w:t>
      </w:r>
      <w:r w:rsidR="004924E4">
        <w:rPr>
          <w:rFonts w:eastAsiaTheme="minorEastAsia" w:cs="CenturyOldStyleStd-Regular"/>
          <w:sz w:val="20"/>
          <w:szCs w:val="20"/>
          <w:lang w:eastAsia="ja-JP"/>
        </w:rPr>
        <w:t xml:space="preserve">For 6 samples, </w:t>
      </w:r>
      <w:r w:rsidR="004924E4" w:rsidRPr="004924E4">
        <w:rPr>
          <w:rFonts w:eastAsiaTheme="minorEastAsia" w:cs="CenturyOldStyleStd-Regular"/>
          <w:sz w:val="20"/>
          <w:szCs w:val="20"/>
          <w:lang w:eastAsia="ja-JP"/>
        </w:rPr>
        <w:t xml:space="preserve">Practical Salinities </w:t>
      </w:r>
      <w:r w:rsidR="00ED799D">
        <w:rPr>
          <w:rFonts w:eastAsiaTheme="minorEastAsia" w:cs="CenturyOldStyleStd-Regular"/>
          <w:sz w:val="20"/>
          <w:szCs w:val="20"/>
          <w:lang w:eastAsia="ja-JP"/>
        </w:rPr>
        <w:t xml:space="preserve">for the rest of the calcium samples </w:t>
      </w:r>
      <w:r w:rsidR="004924E4">
        <w:rPr>
          <w:rFonts w:eastAsiaTheme="minorEastAsia" w:cs="CenturyOldStyleStd-Regular"/>
          <w:sz w:val="20"/>
          <w:szCs w:val="20"/>
          <w:lang w:eastAsia="ja-JP"/>
        </w:rPr>
        <w:t xml:space="preserve">were also measured </w:t>
      </w:r>
      <w:r w:rsidR="004924E4" w:rsidRPr="004924E4">
        <w:rPr>
          <w:rFonts w:eastAsiaTheme="minorEastAsia" w:cs="CenturyOldStyleStd-Regular"/>
          <w:sz w:val="20"/>
          <w:szCs w:val="20"/>
          <w:lang w:eastAsia="ja-JP"/>
        </w:rPr>
        <w:t xml:space="preserve">at 24 ºC by using a salinometer (AUTOSAL 8400B, S/N 60132, </w:t>
      </w:r>
      <w:proofErr w:type="spellStart"/>
      <w:r w:rsidR="004924E4" w:rsidRPr="004924E4">
        <w:rPr>
          <w:rFonts w:eastAsiaTheme="minorEastAsia" w:cs="CenturyOldStyleStd-Regular"/>
          <w:sz w:val="20"/>
          <w:szCs w:val="20"/>
          <w:lang w:eastAsia="ja-JP"/>
        </w:rPr>
        <w:t>Guildline</w:t>
      </w:r>
      <w:proofErr w:type="spellEnd"/>
      <w:r w:rsidR="004924E4" w:rsidRPr="004924E4">
        <w:rPr>
          <w:rFonts w:eastAsiaTheme="minorEastAsia" w:cs="CenturyOldStyleStd-Regular"/>
          <w:sz w:val="20"/>
          <w:szCs w:val="20"/>
          <w:lang w:eastAsia="ja-JP"/>
        </w:rPr>
        <w:t xml:space="preserve"> Instruments Ltd., Ontario, Canada) after the </w:t>
      </w:r>
      <w:r w:rsidR="004924E4">
        <w:rPr>
          <w:rFonts w:eastAsiaTheme="minorEastAsia" w:cs="CenturyOldStyleStd-Regular"/>
          <w:sz w:val="20"/>
          <w:szCs w:val="20"/>
          <w:lang w:eastAsia="ja-JP"/>
        </w:rPr>
        <w:t>calcium</w:t>
      </w:r>
      <w:r w:rsidR="004924E4" w:rsidRPr="004924E4">
        <w:rPr>
          <w:rFonts w:eastAsiaTheme="minorEastAsia" w:cs="CenturyOldStyleStd-Regular"/>
          <w:sz w:val="20"/>
          <w:szCs w:val="20"/>
          <w:lang w:eastAsia="ja-JP"/>
        </w:rPr>
        <w:t xml:space="preserve"> measurements. </w:t>
      </w:r>
      <w:r w:rsidR="00ED799D">
        <w:rPr>
          <w:rFonts w:eastAsiaTheme="minorEastAsia" w:cs="CenturyOldStyleStd-Regular"/>
          <w:sz w:val="20"/>
          <w:szCs w:val="20"/>
          <w:lang w:eastAsia="ja-JP"/>
        </w:rPr>
        <w:t xml:space="preserve">Averaged anomalies from </w:t>
      </w:r>
      <w:r w:rsidR="004924E4" w:rsidRPr="004924E4">
        <w:rPr>
          <w:rFonts w:eastAsiaTheme="minorEastAsia" w:cs="CenturyOldStyleStd-Regular"/>
          <w:sz w:val="20"/>
          <w:szCs w:val="20"/>
          <w:lang w:eastAsia="ja-JP"/>
        </w:rPr>
        <w:t xml:space="preserve">Practical Salinity data measured onboard </w:t>
      </w:r>
      <w:r w:rsidR="00ED799D">
        <w:rPr>
          <w:rFonts w:eastAsiaTheme="minorEastAsia" w:cs="CenturyOldStyleStd-Regular"/>
          <w:sz w:val="20"/>
          <w:szCs w:val="20"/>
          <w:lang w:eastAsia="ja-JP"/>
        </w:rPr>
        <w:t xml:space="preserve">was </w:t>
      </w:r>
      <w:r w:rsidR="00FC5611">
        <w:rPr>
          <w:rFonts w:eastAsiaTheme="minorEastAsia" w:cs="CenturyOldStyleStd-Regular"/>
          <w:sz w:val="20"/>
          <w:szCs w:val="20"/>
          <w:lang w:eastAsia="ja-JP"/>
        </w:rPr>
        <w:t>+</w:t>
      </w:r>
      <w:r w:rsidR="0058632A">
        <w:rPr>
          <w:rFonts w:eastAsiaTheme="minorEastAsia" w:cs="CenturyOldStyleStd-Regular"/>
          <w:sz w:val="20"/>
          <w:szCs w:val="20"/>
          <w:lang w:eastAsia="ja-JP"/>
        </w:rPr>
        <w:t>0.03% (+</w:t>
      </w:r>
      <w:r w:rsidR="00ED799D">
        <w:rPr>
          <w:rFonts w:eastAsiaTheme="minorEastAsia" w:cs="CenturyOldStyleStd-Regular"/>
          <w:sz w:val="20"/>
          <w:szCs w:val="20"/>
          <w:lang w:eastAsia="ja-JP"/>
        </w:rPr>
        <w:t xml:space="preserve">0.0097 +/- 0.0041 </w:t>
      </w:r>
      <w:proofErr w:type="spellStart"/>
      <w:r w:rsidR="00ED799D">
        <w:rPr>
          <w:rFonts w:eastAsiaTheme="minorEastAsia" w:cs="CenturyOldStyleStd-Regular"/>
          <w:sz w:val="20"/>
          <w:szCs w:val="20"/>
          <w:lang w:eastAsia="ja-JP"/>
        </w:rPr>
        <w:t>psu</w:t>
      </w:r>
      <w:proofErr w:type="spellEnd"/>
      <w:r w:rsidR="00ED799D">
        <w:rPr>
          <w:rFonts w:eastAsiaTheme="minorEastAsia" w:cs="CenturyOldStyleStd-Regular"/>
          <w:sz w:val="20"/>
          <w:szCs w:val="20"/>
          <w:lang w:eastAsia="ja-JP"/>
        </w:rPr>
        <w:t xml:space="preserve"> (standard deviation)</w:t>
      </w:r>
      <w:r w:rsidR="0058632A">
        <w:rPr>
          <w:rFonts w:eastAsiaTheme="minorEastAsia" w:cs="CenturyOldStyleStd-Regular"/>
          <w:sz w:val="20"/>
          <w:szCs w:val="20"/>
          <w:lang w:eastAsia="ja-JP"/>
        </w:rPr>
        <w:t>)</w:t>
      </w:r>
      <w:r w:rsidR="00ED799D">
        <w:rPr>
          <w:rFonts w:eastAsiaTheme="minorEastAsia" w:cs="CenturyOldStyleStd-Regular"/>
          <w:sz w:val="20"/>
          <w:szCs w:val="20"/>
          <w:lang w:eastAsia="ja-JP"/>
        </w:rPr>
        <w:t xml:space="preserve">, regarded as an </w:t>
      </w:r>
      <w:r>
        <w:rPr>
          <w:rFonts w:eastAsiaTheme="minorEastAsia" w:cs="CenturyOldStyleStd-Regular"/>
          <w:sz w:val="20"/>
          <w:szCs w:val="20"/>
          <w:lang w:eastAsia="ja-JP"/>
        </w:rPr>
        <w:t>effect of evaporation</w:t>
      </w:r>
      <w:r w:rsidR="00ED799D">
        <w:rPr>
          <w:rFonts w:eastAsiaTheme="minorEastAsia" w:cs="CenturyOldStyleStd-Regular"/>
          <w:sz w:val="20"/>
          <w:szCs w:val="20"/>
          <w:lang w:eastAsia="ja-JP"/>
        </w:rPr>
        <w:t xml:space="preserve"> during the shipment to </w:t>
      </w:r>
      <w:r w:rsidR="00EF261A">
        <w:rPr>
          <w:rFonts w:eastAsiaTheme="minorEastAsia" w:cs="CenturyOldStyleStd-Regular"/>
          <w:sz w:val="20"/>
          <w:szCs w:val="20"/>
          <w:lang w:eastAsia="ja-JP"/>
        </w:rPr>
        <w:t>the</w:t>
      </w:r>
      <w:r w:rsidR="00ED799D">
        <w:rPr>
          <w:rFonts w:eastAsiaTheme="minorEastAsia" w:cs="CenturyOldStyleStd-Regular"/>
          <w:sz w:val="20"/>
          <w:szCs w:val="20"/>
          <w:lang w:eastAsia="ja-JP"/>
        </w:rPr>
        <w:t xml:space="preserve"> laboratory.</w:t>
      </w:r>
      <w:r w:rsidR="001307BD">
        <w:rPr>
          <w:rFonts w:eastAsiaTheme="minorEastAsia" w:cs="CenturyOldStyleStd-Regular"/>
          <w:sz w:val="20"/>
          <w:szCs w:val="20"/>
          <w:lang w:eastAsia="ja-JP"/>
        </w:rPr>
        <w:t xml:space="preserve"> </w:t>
      </w:r>
      <w:r w:rsidR="00B403B7" w:rsidRPr="00B403B7">
        <w:rPr>
          <w:rFonts w:eastAsiaTheme="minorEastAsia" w:cs="CenturyOldStyleStd-Regular"/>
          <w:sz w:val="20"/>
          <w:szCs w:val="20"/>
          <w:lang w:eastAsia="ja-JP"/>
        </w:rPr>
        <w:t>A previous work (</w:t>
      </w:r>
      <w:proofErr w:type="spellStart"/>
      <w:r w:rsidR="00B403B7" w:rsidRPr="00B403B7">
        <w:rPr>
          <w:rFonts w:eastAsiaTheme="minorEastAsia" w:cs="CenturyOldStyleStd-Regular"/>
          <w:sz w:val="20"/>
          <w:szCs w:val="20"/>
          <w:lang w:eastAsia="ja-JP"/>
        </w:rPr>
        <w:t>Culkin</w:t>
      </w:r>
      <w:proofErr w:type="spellEnd"/>
      <w:r w:rsidR="00B403B7" w:rsidRPr="00B403B7">
        <w:rPr>
          <w:rFonts w:eastAsiaTheme="minorEastAsia" w:cs="CenturyOldStyleStd-Regular"/>
          <w:sz w:val="20"/>
          <w:szCs w:val="20"/>
          <w:lang w:eastAsia="ja-JP"/>
        </w:rPr>
        <w:t xml:space="preserve"> and Cox, 1966) points out that magnesium (Mg) and strontium (Sr) cause</w:t>
      </w:r>
      <w:r w:rsidR="00B403B7">
        <w:rPr>
          <w:rFonts w:eastAsiaTheme="minorEastAsia" w:cs="CenturyOldStyleStd-Regular"/>
          <w:sz w:val="20"/>
          <w:szCs w:val="20"/>
          <w:lang w:eastAsia="ja-JP"/>
        </w:rPr>
        <w:t xml:space="preserve"> </w:t>
      </w:r>
      <w:r w:rsidR="00B403B7" w:rsidRPr="00B403B7">
        <w:rPr>
          <w:rFonts w:eastAsiaTheme="minorEastAsia" w:cs="CenturyOldStyleStd-Regular"/>
          <w:sz w:val="20"/>
          <w:szCs w:val="20"/>
          <w:lang w:eastAsia="ja-JP"/>
        </w:rPr>
        <w:t>positive bias to the titrated volume of Ca because of their interference with the reaction between EGTA and</w:t>
      </w:r>
      <w:r w:rsidR="00B403B7">
        <w:rPr>
          <w:rFonts w:eastAsiaTheme="minorEastAsia" w:cs="CenturyOldStyleStd-Regular"/>
          <w:sz w:val="20"/>
          <w:szCs w:val="20"/>
          <w:lang w:eastAsia="ja-JP"/>
        </w:rPr>
        <w:t xml:space="preserve"> </w:t>
      </w:r>
      <w:r w:rsidR="00B403B7" w:rsidRPr="00B403B7">
        <w:rPr>
          <w:rFonts w:eastAsiaTheme="minorEastAsia" w:cs="CenturyOldStyleStd-Regular"/>
          <w:sz w:val="20"/>
          <w:szCs w:val="20"/>
          <w:lang w:eastAsia="ja-JP"/>
        </w:rPr>
        <w:t>Ca; the bias caused by Mg was 0.729% and by Sr was 0.388%.</w:t>
      </w:r>
      <w:r w:rsidR="001307BD">
        <w:rPr>
          <w:rFonts w:eastAsiaTheme="minorEastAsia" w:cs="CenturyOldStyleStd-Regular"/>
          <w:sz w:val="20"/>
          <w:szCs w:val="20"/>
          <w:lang w:eastAsia="ja-JP"/>
        </w:rPr>
        <w:t xml:space="preserve"> </w:t>
      </w:r>
      <w:r w:rsidR="00AB02D1">
        <w:rPr>
          <w:rFonts w:eastAsiaTheme="minorEastAsia" w:cs="CenturyOldStyleStd-Regular"/>
          <w:sz w:val="20"/>
          <w:szCs w:val="20"/>
          <w:lang w:eastAsia="ja-JP"/>
        </w:rPr>
        <w:t>N</w:t>
      </w:r>
      <w:r w:rsidR="001307BD">
        <w:rPr>
          <w:rFonts w:eastAsiaTheme="minorEastAsia" w:cs="CenturyOldStyleStd-Regular"/>
          <w:sz w:val="20"/>
          <w:szCs w:val="20"/>
          <w:lang w:eastAsia="ja-JP"/>
        </w:rPr>
        <w:t xml:space="preserve">o correction </w:t>
      </w:r>
      <w:r w:rsidR="00AB02D1">
        <w:rPr>
          <w:rFonts w:eastAsiaTheme="minorEastAsia" w:cs="CenturyOldStyleStd-Regular"/>
          <w:sz w:val="20"/>
          <w:szCs w:val="20"/>
          <w:lang w:eastAsia="ja-JP"/>
        </w:rPr>
        <w:t>for the evaporation and interference</w:t>
      </w:r>
      <w:r w:rsidR="005D4A98">
        <w:rPr>
          <w:rFonts w:eastAsiaTheme="minorEastAsia" w:cs="CenturyOldStyleStd-Regular"/>
          <w:sz w:val="20"/>
          <w:szCs w:val="20"/>
          <w:lang w:eastAsia="ja-JP"/>
        </w:rPr>
        <w:t xml:space="preserve"> </w:t>
      </w:r>
      <w:r w:rsidR="001307BD">
        <w:rPr>
          <w:rFonts w:eastAsiaTheme="minorEastAsia" w:cs="CenturyOldStyleStd-Regular"/>
          <w:sz w:val="20"/>
          <w:szCs w:val="20"/>
          <w:lang w:eastAsia="ja-JP"/>
        </w:rPr>
        <w:t>was given to the data.</w:t>
      </w:r>
    </w:p>
    <w:p w:rsidR="00F471C7" w:rsidRPr="009F5499" w:rsidRDefault="00F471C7" w:rsidP="00F471C7">
      <w:pPr>
        <w:autoSpaceDE w:val="0"/>
        <w:autoSpaceDN w:val="0"/>
        <w:adjustRightInd w:val="0"/>
        <w:spacing w:before="120"/>
        <w:rPr>
          <w:rFonts w:cs="CenturyOldStyleStd-Regular"/>
          <w:sz w:val="20"/>
          <w:szCs w:val="20"/>
          <w:u w:val="single"/>
        </w:rPr>
      </w:pPr>
      <w:r w:rsidRPr="009F5499">
        <w:rPr>
          <w:rFonts w:eastAsia="CenturyOldStyleStd-Bold" w:cs="CenturyOldStyleStd-Bold"/>
          <w:bCs/>
          <w:sz w:val="20"/>
          <w:szCs w:val="20"/>
          <w:u w:val="single"/>
        </w:rPr>
        <w:t>References</w:t>
      </w:r>
    </w:p>
    <w:p w:rsidR="00F471C7" w:rsidRDefault="00F471C7" w:rsidP="00F471C7">
      <w:pPr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FF342E">
        <w:rPr>
          <w:sz w:val="20"/>
          <w:szCs w:val="20"/>
        </w:rPr>
        <w:t>Culkin</w:t>
      </w:r>
      <w:proofErr w:type="spellEnd"/>
      <w:r w:rsidRPr="00FF342E">
        <w:rPr>
          <w:sz w:val="20"/>
          <w:szCs w:val="20"/>
        </w:rPr>
        <w:t>, F. and Cox, R.A. (1966). Sodium, potassium, magnesium, calcium and strontium in seawater. Deep Sea Research 13: 789-804.</w:t>
      </w:r>
    </w:p>
    <w:p w:rsidR="00400530" w:rsidRPr="00400530" w:rsidRDefault="00400530" w:rsidP="00400530">
      <w:pPr>
        <w:autoSpaceDE w:val="0"/>
        <w:autoSpaceDN w:val="0"/>
        <w:adjustRightInd w:val="0"/>
        <w:rPr>
          <w:sz w:val="20"/>
          <w:szCs w:val="20"/>
        </w:rPr>
      </w:pPr>
      <w:r w:rsidRPr="00400530">
        <w:rPr>
          <w:sz w:val="20"/>
          <w:szCs w:val="20"/>
        </w:rPr>
        <w:t>DOE (1994) Handbook of methods for the analysis of the various parameters of the carbon dioxide system in</w:t>
      </w:r>
    </w:p>
    <w:p w:rsidR="00400530" w:rsidRPr="00FF342E" w:rsidRDefault="00400530" w:rsidP="00400530">
      <w:pPr>
        <w:autoSpaceDE w:val="0"/>
        <w:autoSpaceDN w:val="0"/>
        <w:adjustRightInd w:val="0"/>
        <w:rPr>
          <w:sz w:val="20"/>
          <w:szCs w:val="20"/>
        </w:rPr>
      </w:pPr>
      <w:r w:rsidRPr="00400530">
        <w:rPr>
          <w:sz w:val="20"/>
          <w:szCs w:val="20"/>
        </w:rPr>
        <w:t xml:space="preserve">sea water; version 2. A.G. Dickson and C. </w:t>
      </w:r>
      <w:proofErr w:type="spellStart"/>
      <w:r w:rsidRPr="00400530">
        <w:rPr>
          <w:sz w:val="20"/>
          <w:szCs w:val="20"/>
        </w:rPr>
        <w:t>Goyet</w:t>
      </w:r>
      <w:proofErr w:type="spellEnd"/>
      <w:r w:rsidRPr="00400530">
        <w:rPr>
          <w:sz w:val="20"/>
          <w:szCs w:val="20"/>
        </w:rPr>
        <w:t xml:space="preserve"> (eds), ORNL/CDIAC-74.</w:t>
      </w:r>
    </w:p>
    <w:p w:rsidR="00F471C7" w:rsidRPr="00FF342E" w:rsidRDefault="00F471C7" w:rsidP="00F471C7">
      <w:pPr>
        <w:autoSpaceDE w:val="0"/>
        <w:autoSpaceDN w:val="0"/>
        <w:adjustRightInd w:val="0"/>
        <w:rPr>
          <w:sz w:val="20"/>
          <w:szCs w:val="20"/>
        </w:rPr>
      </w:pPr>
    </w:p>
    <w:p w:rsidR="00F471C7" w:rsidRPr="00FF342E" w:rsidRDefault="001965ED" w:rsidP="00F471C7">
      <w:pPr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5731510" cy="3836670"/>
            <wp:effectExtent l="0" t="0" r="254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lcium_section_plot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3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87E" w:rsidRDefault="00F471C7" w:rsidP="00F471C7">
      <w:pPr>
        <w:jc w:val="center"/>
        <w:rPr>
          <w:rFonts w:asciiTheme="minorHAnsi" w:hAnsiTheme="minorHAnsi" w:cstheme="minorHAnsi"/>
          <w:b/>
          <w:color w:val="0070C0"/>
          <w:sz w:val="20"/>
          <w:szCs w:val="20"/>
        </w:rPr>
      </w:pPr>
      <w:bookmarkStart w:id="2" w:name="_Hlk2326579"/>
      <w:r w:rsidRPr="00643BB0">
        <w:rPr>
          <w:rFonts w:asciiTheme="minorHAnsi" w:hAnsiTheme="minorHAnsi" w:cstheme="minorHAnsi"/>
          <w:b/>
          <w:color w:val="0070C0"/>
          <w:sz w:val="20"/>
          <w:szCs w:val="20"/>
        </w:rPr>
        <w:t>Figure 25</w:t>
      </w:r>
      <w:r w:rsidR="00BF12D8">
        <w:rPr>
          <w:rFonts w:asciiTheme="minorHAnsi" w:hAnsiTheme="minorHAnsi" w:cstheme="minorHAnsi"/>
          <w:b/>
          <w:color w:val="0070C0"/>
          <w:sz w:val="20"/>
          <w:szCs w:val="20"/>
        </w:rPr>
        <w:t>a</w:t>
      </w:r>
      <w:r w:rsidRPr="00643BB0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. </w:t>
      </w:r>
      <w:r w:rsidR="001965ED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Section plot of dissolved calcium </w:t>
      </w:r>
      <w:r w:rsidR="000D087E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and sampling layers </w:t>
      </w:r>
      <w:r w:rsidR="00005E7D">
        <w:rPr>
          <w:rFonts w:asciiTheme="minorHAnsi" w:hAnsiTheme="minorHAnsi" w:cstheme="minorHAnsi"/>
          <w:b/>
          <w:color w:val="0070C0"/>
          <w:sz w:val="20"/>
          <w:szCs w:val="20"/>
        </w:rPr>
        <w:t>(</w:t>
      </w:r>
      <w:r w:rsidR="001965ED">
        <w:rPr>
          <w:rFonts w:asciiTheme="minorHAnsi" w:hAnsiTheme="minorHAnsi" w:cstheme="minorHAnsi"/>
          <w:b/>
          <w:color w:val="0070C0"/>
          <w:sz w:val="20"/>
          <w:szCs w:val="20"/>
        </w:rPr>
        <w:t>top</w:t>
      </w:r>
      <w:r w:rsidR="000D087E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 panel)</w:t>
      </w:r>
      <w:r w:rsidR="001965ED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. </w:t>
      </w:r>
    </w:p>
    <w:p w:rsidR="00F471C7" w:rsidRPr="00643BB0" w:rsidRDefault="00F471C7" w:rsidP="00F471C7">
      <w:pPr>
        <w:jc w:val="center"/>
        <w:rPr>
          <w:rFonts w:asciiTheme="minorHAnsi" w:hAnsiTheme="minorHAnsi" w:cstheme="minorHAnsi"/>
          <w:b/>
          <w:color w:val="0070C0"/>
          <w:sz w:val="20"/>
          <w:szCs w:val="20"/>
        </w:rPr>
      </w:pPr>
      <w:r w:rsidRPr="00643BB0">
        <w:rPr>
          <w:rFonts w:asciiTheme="minorHAnsi" w:hAnsiTheme="minorHAnsi" w:cstheme="minorHAnsi"/>
          <w:b/>
          <w:color w:val="0070C0"/>
          <w:sz w:val="20"/>
          <w:szCs w:val="20"/>
        </w:rPr>
        <w:t>Map of collected stations (</w:t>
      </w:r>
      <w:r w:rsidR="000D087E">
        <w:rPr>
          <w:rFonts w:asciiTheme="minorHAnsi" w:hAnsiTheme="minorHAnsi" w:cstheme="minorHAnsi"/>
          <w:b/>
          <w:color w:val="0070C0"/>
          <w:sz w:val="20"/>
          <w:szCs w:val="20"/>
        </w:rPr>
        <w:t>bottom panel)</w:t>
      </w:r>
      <w:r w:rsidRPr="00643BB0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. </w:t>
      </w:r>
    </w:p>
    <w:bookmarkEnd w:id="2"/>
    <w:p w:rsidR="00F471C7" w:rsidRPr="0038587C" w:rsidRDefault="00F471C7" w:rsidP="00F471C7">
      <w:pPr>
        <w:rPr>
          <w:b/>
          <w:i/>
          <w:color w:val="000000" w:themeColor="text1"/>
          <w:sz w:val="20"/>
          <w:szCs w:val="20"/>
        </w:rPr>
      </w:pPr>
    </w:p>
    <w:p w:rsidR="00023F44" w:rsidRPr="00023F44" w:rsidRDefault="00023F44" w:rsidP="00023F44">
      <w:pPr>
        <w:rPr>
          <w:sz w:val="20"/>
          <w:szCs w:val="20"/>
        </w:rPr>
      </w:pPr>
    </w:p>
    <w:p w:rsidR="00DF481E" w:rsidRPr="00643BB0" w:rsidRDefault="00DF481E" w:rsidP="00DF481E">
      <w:pPr>
        <w:jc w:val="center"/>
        <w:rPr>
          <w:rFonts w:asciiTheme="minorHAnsi" w:hAnsiTheme="minorHAnsi" w:cstheme="minorHAnsi"/>
          <w:b/>
          <w:color w:val="0070C0"/>
          <w:sz w:val="20"/>
          <w:szCs w:val="20"/>
        </w:rPr>
      </w:pPr>
      <w:r>
        <w:rPr>
          <w:rFonts w:asciiTheme="minorHAnsi" w:hAnsiTheme="minorHAnsi" w:cstheme="minorHAnsi"/>
          <w:b/>
          <w:color w:val="0070C0"/>
          <w:sz w:val="20"/>
          <w:szCs w:val="20"/>
        </w:rPr>
        <w:t>Table</w:t>
      </w:r>
      <w:r w:rsidR="00BF12D8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 25</w:t>
      </w:r>
      <w:r w:rsidRPr="00643BB0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. </w:t>
      </w:r>
      <w:r>
        <w:rPr>
          <w:rFonts w:asciiTheme="minorHAnsi" w:hAnsiTheme="minorHAnsi" w:cstheme="minorHAnsi"/>
          <w:b/>
          <w:color w:val="0070C0"/>
          <w:sz w:val="20"/>
          <w:szCs w:val="20"/>
        </w:rPr>
        <w:t xml:space="preserve">Results of the calibrations during the analysis. </w:t>
      </w:r>
      <w:r w:rsidR="00E96E17">
        <w:rPr>
          <w:rFonts w:asciiTheme="minorHAnsi" w:hAnsiTheme="minorHAnsi" w:cstheme="minorHAnsi"/>
          <w:b/>
          <w:color w:val="0070C0"/>
          <w:sz w:val="20"/>
          <w:szCs w:val="20"/>
        </w:rPr>
        <w:t>%CV means coefficient of variation for the calibrations (S.D. / Average).</w:t>
      </w:r>
    </w:p>
    <w:tbl>
      <w:tblPr>
        <w:tblW w:w="8495" w:type="dxa"/>
        <w:jc w:val="center"/>
        <w:tblBorders>
          <w:top w:val="single" w:sz="8" w:space="0" w:color="009193"/>
          <w:left w:val="single" w:sz="8" w:space="0" w:color="009193"/>
          <w:bottom w:val="single" w:sz="8" w:space="0" w:color="009193"/>
          <w:right w:val="single" w:sz="8" w:space="0" w:color="009193"/>
          <w:insideH w:val="single" w:sz="8" w:space="0" w:color="009193"/>
          <w:insideV w:val="single" w:sz="8" w:space="0" w:color="009193"/>
        </w:tblBorders>
        <w:tblLook w:val="04A0" w:firstRow="1" w:lastRow="0" w:firstColumn="1" w:lastColumn="0" w:noHBand="0" w:noVBand="1"/>
      </w:tblPr>
      <w:tblGrid>
        <w:gridCol w:w="1124"/>
        <w:gridCol w:w="1560"/>
        <w:gridCol w:w="1417"/>
        <w:gridCol w:w="1288"/>
        <w:gridCol w:w="461"/>
        <w:gridCol w:w="944"/>
        <w:gridCol w:w="1701"/>
      </w:tblGrid>
      <w:tr w:rsidR="005749DA" w:rsidRPr="00023F44" w:rsidTr="00FB2695">
        <w:trPr>
          <w:jc w:val="center"/>
        </w:trPr>
        <w:tc>
          <w:tcPr>
            <w:tcW w:w="1124" w:type="dxa"/>
          </w:tcPr>
          <w:p w:rsidR="005749DA" w:rsidRPr="00023F44" w:rsidRDefault="005749DA" w:rsidP="00023F44">
            <w:pPr>
              <w:rPr>
                <w:sz w:val="20"/>
                <w:szCs w:val="20"/>
              </w:rPr>
            </w:pPr>
            <w:r w:rsidRPr="00023F44">
              <w:rPr>
                <w:sz w:val="20"/>
                <w:szCs w:val="20"/>
              </w:rPr>
              <w:t>EGTA No.</w:t>
            </w:r>
          </w:p>
        </w:tc>
        <w:tc>
          <w:tcPr>
            <w:tcW w:w="1560" w:type="dxa"/>
          </w:tcPr>
          <w:p w:rsidR="005749DA" w:rsidRPr="00023F44" w:rsidRDefault="005749DA" w:rsidP="00023F44">
            <w:pPr>
              <w:rPr>
                <w:sz w:val="20"/>
                <w:szCs w:val="20"/>
              </w:rPr>
            </w:pPr>
            <w:r w:rsidRPr="00023F44">
              <w:rPr>
                <w:sz w:val="20"/>
                <w:szCs w:val="20"/>
              </w:rPr>
              <w:t>Dates</w:t>
            </w:r>
          </w:p>
        </w:tc>
        <w:tc>
          <w:tcPr>
            <w:tcW w:w="1417" w:type="dxa"/>
          </w:tcPr>
          <w:p w:rsidR="005749DA" w:rsidRPr="00023F44" w:rsidRDefault="005749DA" w:rsidP="00023F44">
            <w:pPr>
              <w:rPr>
                <w:sz w:val="20"/>
                <w:szCs w:val="20"/>
              </w:rPr>
            </w:pPr>
            <w:r w:rsidRPr="00023F44">
              <w:rPr>
                <w:sz w:val="20"/>
                <w:szCs w:val="20"/>
              </w:rPr>
              <w:t>Average</w:t>
            </w:r>
            <w:r>
              <w:rPr>
                <w:sz w:val="20"/>
                <w:szCs w:val="20"/>
              </w:rPr>
              <w:t xml:space="preserve"> (mM)</w:t>
            </w:r>
          </w:p>
        </w:tc>
        <w:tc>
          <w:tcPr>
            <w:tcW w:w="1288" w:type="dxa"/>
          </w:tcPr>
          <w:p w:rsidR="005749DA" w:rsidRPr="00023F44" w:rsidRDefault="005749DA" w:rsidP="00023F44">
            <w:pPr>
              <w:rPr>
                <w:sz w:val="20"/>
                <w:szCs w:val="20"/>
              </w:rPr>
            </w:pPr>
            <w:r w:rsidRPr="00023F44">
              <w:rPr>
                <w:sz w:val="20"/>
                <w:szCs w:val="20"/>
              </w:rPr>
              <w:t>S.D.</w:t>
            </w:r>
            <w:r>
              <w:rPr>
                <w:sz w:val="20"/>
                <w:szCs w:val="20"/>
              </w:rPr>
              <w:t xml:space="preserve"> (mM)</w:t>
            </w:r>
          </w:p>
        </w:tc>
        <w:tc>
          <w:tcPr>
            <w:tcW w:w="461" w:type="dxa"/>
          </w:tcPr>
          <w:p w:rsidR="005749DA" w:rsidRPr="00023F44" w:rsidRDefault="005749DA" w:rsidP="00023F44">
            <w:pPr>
              <w:rPr>
                <w:sz w:val="20"/>
                <w:szCs w:val="20"/>
              </w:rPr>
            </w:pPr>
            <w:r w:rsidRPr="00023F44">
              <w:rPr>
                <w:sz w:val="20"/>
                <w:szCs w:val="20"/>
              </w:rPr>
              <w:t>N</w:t>
            </w:r>
          </w:p>
        </w:tc>
        <w:tc>
          <w:tcPr>
            <w:tcW w:w="944" w:type="dxa"/>
          </w:tcPr>
          <w:p w:rsidR="005749DA" w:rsidRPr="00FB2695" w:rsidRDefault="00FB2695" w:rsidP="00023F44">
            <w:pPr>
              <w:rPr>
                <w:rFonts w:eastAsiaTheme="minorEastAsia"/>
                <w:sz w:val="20"/>
                <w:szCs w:val="20"/>
                <w:lang w:eastAsia="ja-JP"/>
              </w:rPr>
            </w:pPr>
            <w:r>
              <w:rPr>
                <w:rFonts w:eastAsiaTheme="minorEastAsia" w:hint="eastAsia"/>
                <w:sz w:val="20"/>
                <w:szCs w:val="20"/>
                <w:lang w:eastAsia="ja-JP"/>
              </w:rPr>
              <w:t>%</w:t>
            </w:r>
            <w:r>
              <w:rPr>
                <w:rFonts w:eastAsiaTheme="minorEastAsia"/>
                <w:sz w:val="20"/>
                <w:szCs w:val="20"/>
                <w:lang w:eastAsia="ja-JP"/>
              </w:rPr>
              <w:t>CV</w:t>
            </w:r>
          </w:p>
        </w:tc>
        <w:tc>
          <w:tcPr>
            <w:tcW w:w="1701" w:type="dxa"/>
          </w:tcPr>
          <w:p w:rsidR="005749DA" w:rsidRPr="00023F44" w:rsidRDefault="005749DA" w:rsidP="00023F44">
            <w:pPr>
              <w:rPr>
                <w:sz w:val="20"/>
                <w:szCs w:val="20"/>
              </w:rPr>
            </w:pPr>
            <w:r w:rsidRPr="00023F44">
              <w:rPr>
                <w:sz w:val="20"/>
                <w:szCs w:val="20"/>
              </w:rPr>
              <w:t>Stations</w:t>
            </w:r>
          </w:p>
        </w:tc>
      </w:tr>
      <w:tr w:rsidR="005749DA" w:rsidRPr="00023F44" w:rsidTr="00FB2695">
        <w:trPr>
          <w:jc w:val="center"/>
        </w:trPr>
        <w:tc>
          <w:tcPr>
            <w:tcW w:w="1124" w:type="dxa"/>
          </w:tcPr>
          <w:p w:rsidR="005749DA" w:rsidRPr="00023F44" w:rsidRDefault="005749DA" w:rsidP="00023F44">
            <w:pPr>
              <w:rPr>
                <w:sz w:val="20"/>
                <w:szCs w:val="20"/>
              </w:rPr>
            </w:pPr>
            <w:r w:rsidRPr="00023F44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5749DA" w:rsidRPr="00023F44" w:rsidRDefault="005749DA" w:rsidP="00023F44">
            <w:pPr>
              <w:rPr>
                <w:sz w:val="20"/>
                <w:szCs w:val="20"/>
              </w:rPr>
            </w:pPr>
            <w:r w:rsidRPr="00023F44">
              <w:rPr>
                <w:sz w:val="20"/>
                <w:szCs w:val="20"/>
              </w:rPr>
              <w:t>2018/11/06-08</w:t>
            </w:r>
          </w:p>
        </w:tc>
        <w:tc>
          <w:tcPr>
            <w:tcW w:w="1417" w:type="dxa"/>
          </w:tcPr>
          <w:p w:rsidR="005749DA" w:rsidRPr="00023F44" w:rsidRDefault="005749DA" w:rsidP="00023F44">
            <w:pPr>
              <w:rPr>
                <w:sz w:val="20"/>
                <w:szCs w:val="20"/>
              </w:rPr>
            </w:pPr>
            <w:r w:rsidRPr="00023F44">
              <w:rPr>
                <w:sz w:val="20"/>
                <w:szCs w:val="20"/>
              </w:rPr>
              <w:t>19.9220</w:t>
            </w:r>
          </w:p>
        </w:tc>
        <w:tc>
          <w:tcPr>
            <w:tcW w:w="1288" w:type="dxa"/>
          </w:tcPr>
          <w:p w:rsidR="005749DA" w:rsidRPr="00023F44" w:rsidRDefault="005749DA" w:rsidP="00023F44">
            <w:pPr>
              <w:rPr>
                <w:sz w:val="20"/>
                <w:szCs w:val="20"/>
              </w:rPr>
            </w:pPr>
            <w:r w:rsidRPr="00023F44">
              <w:rPr>
                <w:sz w:val="20"/>
                <w:szCs w:val="20"/>
              </w:rPr>
              <w:t>0.0067</w:t>
            </w:r>
          </w:p>
        </w:tc>
        <w:tc>
          <w:tcPr>
            <w:tcW w:w="461" w:type="dxa"/>
          </w:tcPr>
          <w:p w:rsidR="005749DA" w:rsidRPr="00023F44" w:rsidRDefault="005749DA" w:rsidP="00023F44">
            <w:pPr>
              <w:rPr>
                <w:sz w:val="20"/>
                <w:szCs w:val="20"/>
              </w:rPr>
            </w:pPr>
            <w:r w:rsidRPr="00023F44">
              <w:rPr>
                <w:sz w:val="20"/>
                <w:szCs w:val="20"/>
              </w:rPr>
              <w:t>11</w:t>
            </w:r>
          </w:p>
        </w:tc>
        <w:tc>
          <w:tcPr>
            <w:tcW w:w="944" w:type="dxa"/>
          </w:tcPr>
          <w:p w:rsidR="005749DA" w:rsidRPr="00FB2695" w:rsidRDefault="00FB2695" w:rsidP="00023F44">
            <w:pPr>
              <w:rPr>
                <w:rFonts w:eastAsiaTheme="minorEastAsia"/>
                <w:sz w:val="20"/>
                <w:szCs w:val="20"/>
                <w:lang w:eastAsia="ja-JP"/>
              </w:rPr>
            </w:pPr>
            <w:r>
              <w:rPr>
                <w:rFonts w:eastAsiaTheme="minorEastAsia" w:hint="eastAsia"/>
                <w:sz w:val="20"/>
                <w:szCs w:val="20"/>
                <w:lang w:eastAsia="ja-JP"/>
              </w:rPr>
              <w:t>0</w:t>
            </w:r>
            <w:r>
              <w:rPr>
                <w:rFonts w:eastAsiaTheme="minorEastAsia"/>
                <w:sz w:val="20"/>
                <w:szCs w:val="20"/>
                <w:lang w:eastAsia="ja-JP"/>
              </w:rPr>
              <w:t>.03</w:t>
            </w:r>
          </w:p>
        </w:tc>
        <w:tc>
          <w:tcPr>
            <w:tcW w:w="1701" w:type="dxa"/>
          </w:tcPr>
          <w:p w:rsidR="005749DA" w:rsidRPr="00023F44" w:rsidRDefault="005749DA" w:rsidP="00023F44">
            <w:pPr>
              <w:rPr>
                <w:sz w:val="20"/>
                <w:szCs w:val="20"/>
              </w:rPr>
            </w:pPr>
            <w:r w:rsidRPr="00023F44">
              <w:rPr>
                <w:sz w:val="20"/>
                <w:szCs w:val="20"/>
              </w:rPr>
              <w:t>117, 121</w:t>
            </w:r>
          </w:p>
        </w:tc>
      </w:tr>
      <w:tr w:rsidR="005749DA" w:rsidRPr="00023F44" w:rsidTr="00FB2695">
        <w:trPr>
          <w:jc w:val="center"/>
        </w:trPr>
        <w:tc>
          <w:tcPr>
            <w:tcW w:w="1124" w:type="dxa"/>
          </w:tcPr>
          <w:p w:rsidR="005749DA" w:rsidRPr="00023F44" w:rsidRDefault="005749DA" w:rsidP="00023F44">
            <w:pPr>
              <w:rPr>
                <w:sz w:val="20"/>
                <w:szCs w:val="20"/>
              </w:rPr>
            </w:pPr>
            <w:r w:rsidRPr="00023F44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5749DA" w:rsidRPr="00023F44" w:rsidRDefault="005749DA" w:rsidP="00023F44">
            <w:pPr>
              <w:rPr>
                <w:sz w:val="20"/>
                <w:szCs w:val="20"/>
              </w:rPr>
            </w:pPr>
            <w:r w:rsidRPr="00023F44">
              <w:rPr>
                <w:sz w:val="20"/>
                <w:szCs w:val="20"/>
              </w:rPr>
              <w:t>2018/11/08-12</w:t>
            </w:r>
          </w:p>
        </w:tc>
        <w:tc>
          <w:tcPr>
            <w:tcW w:w="1417" w:type="dxa"/>
          </w:tcPr>
          <w:p w:rsidR="005749DA" w:rsidRPr="00023F44" w:rsidRDefault="005749DA" w:rsidP="00023F44">
            <w:pPr>
              <w:rPr>
                <w:sz w:val="20"/>
                <w:szCs w:val="20"/>
              </w:rPr>
            </w:pPr>
            <w:r w:rsidRPr="00023F44">
              <w:rPr>
                <w:sz w:val="20"/>
                <w:szCs w:val="20"/>
              </w:rPr>
              <w:t>19.3451</w:t>
            </w:r>
          </w:p>
        </w:tc>
        <w:tc>
          <w:tcPr>
            <w:tcW w:w="1288" w:type="dxa"/>
          </w:tcPr>
          <w:p w:rsidR="005749DA" w:rsidRPr="00023F44" w:rsidRDefault="005749DA" w:rsidP="00023F44">
            <w:pPr>
              <w:rPr>
                <w:sz w:val="20"/>
                <w:szCs w:val="20"/>
              </w:rPr>
            </w:pPr>
            <w:r w:rsidRPr="00023F44">
              <w:rPr>
                <w:sz w:val="20"/>
                <w:szCs w:val="20"/>
              </w:rPr>
              <w:t>0.0164</w:t>
            </w:r>
          </w:p>
        </w:tc>
        <w:tc>
          <w:tcPr>
            <w:tcW w:w="461" w:type="dxa"/>
          </w:tcPr>
          <w:p w:rsidR="005749DA" w:rsidRPr="00023F44" w:rsidRDefault="005749DA" w:rsidP="00023F44">
            <w:pPr>
              <w:rPr>
                <w:sz w:val="20"/>
                <w:szCs w:val="20"/>
              </w:rPr>
            </w:pPr>
            <w:r w:rsidRPr="00023F44">
              <w:rPr>
                <w:sz w:val="20"/>
                <w:szCs w:val="20"/>
              </w:rPr>
              <w:t>8</w:t>
            </w:r>
          </w:p>
        </w:tc>
        <w:tc>
          <w:tcPr>
            <w:tcW w:w="944" w:type="dxa"/>
          </w:tcPr>
          <w:p w:rsidR="005749DA" w:rsidRPr="00FB2695" w:rsidRDefault="00FB2695" w:rsidP="00023F44">
            <w:pPr>
              <w:rPr>
                <w:rFonts w:eastAsiaTheme="minorEastAsia"/>
                <w:sz w:val="20"/>
                <w:szCs w:val="20"/>
                <w:lang w:eastAsia="ja-JP"/>
              </w:rPr>
            </w:pPr>
            <w:r>
              <w:rPr>
                <w:rFonts w:eastAsiaTheme="minorEastAsia" w:hint="eastAsia"/>
                <w:sz w:val="20"/>
                <w:szCs w:val="20"/>
                <w:lang w:eastAsia="ja-JP"/>
              </w:rPr>
              <w:t>0</w:t>
            </w:r>
            <w:r>
              <w:rPr>
                <w:rFonts w:eastAsiaTheme="minorEastAsia"/>
                <w:sz w:val="20"/>
                <w:szCs w:val="20"/>
                <w:lang w:eastAsia="ja-JP"/>
              </w:rPr>
              <w:t>.08</w:t>
            </w:r>
          </w:p>
        </w:tc>
        <w:tc>
          <w:tcPr>
            <w:tcW w:w="1701" w:type="dxa"/>
          </w:tcPr>
          <w:p w:rsidR="005749DA" w:rsidRPr="00023F44" w:rsidRDefault="005749DA" w:rsidP="00023F44">
            <w:pPr>
              <w:rPr>
                <w:sz w:val="20"/>
                <w:szCs w:val="20"/>
              </w:rPr>
            </w:pPr>
            <w:r w:rsidRPr="00023F44">
              <w:rPr>
                <w:sz w:val="20"/>
                <w:szCs w:val="20"/>
              </w:rPr>
              <w:t>105, 111</w:t>
            </w:r>
          </w:p>
        </w:tc>
      </w:tr>
      <w:tr w:rsidR="005749DA" w:rsidRPr="00023F44" w:rsidTr="00FB2695">
        <w:trPr>
          <w:jc w:val="center"/>
        </w:trPr>
        <w:tc>
          <w:tcPr>
            <w:tcW w:w="1124" w:type="dxa"/>
          </w:tcPr>
          <w:p w:rsidR="005749DA" w:rsidRPr="00023F44" w:rsidRDefault="005749DA" w:rsidP="00023F44">
            <w:pPr>
              <w:rPr>
                <w:sz w:val="20"/>
                <w:szCs w:val="20"/>
              </w:rPr>
            </w:pPr>
            <w:r w:rsidRPr="00023F44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5749DA" w:rsidRPr="00023F44" w:rsidRDefault="005749DA" w:rsidP="00023F44">
            <w:pPr>
              <w:rPr>
                <w:sz w:val="20"/>
                <w:szCs w:val="20"/>
              </w:rPr>
            </w:pPr>
            <w:r w:rsidRPr="00023F44">
              <w:rPr>
                <w:sz w:val="20"/>
                <w:szCs w:val="20"/>
              </w:rPr>
              <w:t>2018/11/13</w:t>
            </w:r>
          </w:p>
        </w:tc>
        <w:tc>
          <w:tcPr>
            <w:tcW w:w="1417" w:type="dxa"/>
          </w:tcPr>
          <w:p w:rsidR="005749DA" w:rsidRPr="00023F44" w:rsidRDefault="005749DA" w:rsidP="00023F44">
            <w:pPr>
              <w:rPr>
                <w:sz w:val="20"/>
                <w:szCs w:val="20"/>
              </w:rPr>
            </w:pPr>
            <w:r w:rsidRPr="00023F44">
              <w:rPr>
                <w:sz w:val="20"/>
                <w:szCs w:val="20"/>
              </w:rPr>
              <w:t>19.6633</w:t>
            </w:r>
          </w:p>
        </w:tc>
        <w:tc>
          <w:tcPr>
            <w:tcW w:w="1288" w:type="dxa"/>
          </w:tcPr>
          <w:p w:rsidR="005749DA" w:rsidRPr="00023F44" w:rsidRDefault="005749DA" w:rsidP="00023F44">
            <w:pPr>
              <w:rPr>
                <w:sz w:val="20"/>
                <w:szCs w:val="20"/>
              </w:rPr>
            </w:pPr>
            <w:r w:rsidRPr="00023F44">
              <w:rPr>
                <w:sz w:val="20"/>
                <w:szCs w:val="20"/>
              </w:rPr>
              <w:t>0.0351</w:t>
            </w:r>
          </w:p>
        </w:tc>
        <w:tc>
          <w:tcPr>
            <w:tcW w:w="461" w:type="dxa"/>
          </w:tcPr>
          <w:p w:rsidR="005749DA" w:rsidRPr="00023F44" w:rsidRDefault="005749DA" w:rsidP="00023F44">
            <w:pPr>
              <w:rPr>
                <w:sz w:val="20"/>
                <w:szCs w:val="20"/>
              </w:rPr>
            </w:pPr>
            <w:r w:rsidRPr="00023F44">
              <w:rPr>
                <w:sz w:val="20"/>
                <w:szCs w:val="20"/>
              </w:rPr>
              <w:t>5</w:t>
            </w:r>
          </w:p>
        </w:tc>
        <w:tc>
          <w:tcPr>
            <w:tcW w:w="944" w:type="dxa"/>
          </w:tcPr>
          <w:p w:rsidR="005749DA" w:rsidRPr="00FB2695" w:rsidRDefault="00FB2695" w:rsidP="00023F44">
            <w:pPr>
              <w:rPr>
                <w:rFonts w:eastAsiaTheme="minorEastAsia"/>
                <w:sz w:val="20"/>
                <w:szCs w:val="20"/>
                <w:lang w:eastAsia="ja-JP"/>
              </w:rPr>
            </w:pPr>
            <w:r>
              <w:rPr>
                <w:rFonts w:eastAsiaTheme="minorEastAsia" w:hint="eastAsia"/>
                <w:sz w:val="20"/>
                <w:szCs w:val="20"/>
                <w:lang w:eastAsia="ja-JP"/>
              </w:rPr>
              <w:t>0</w:t>
            </w:r>
            <w:r>
              <w:rPr>
                <w:rFonts w:eastAsiaTheme="minorEastAsia"/>
                <w:sz w:val="20"/>
                <w:szCs w:val="20"/>
                <w:lang w:eastAsia="ja-JP"/>
              </w:rPr>
              <w:t>.18</w:t>
            </w:r>
          </w:p>
        </w:tc>
        <w:tc>
          <w:tcPr>
            <w:tcW w:w="1701" w:type="dxa"/>
          </w:tcPr>
          <w:p w:rsidR="005749DA" w:rsidRPr="00023F44" w:rsidRDefault="005749DA" w:rsidP="00023F44">
            <w:pPr>
              <w:rPr>
                <w:sz w:val="20"/>
                <w:szCs w:val="20"/>
              </w:rPr>
            </w:pPr>
            <w:r w:rsidRPr="00023F44">
              <w:rPr>
                <w:sz w:val="20"/>
                <w:szCs w:val="20"/>
              </w:rPr>
              <w:t>76, 93</w:t>
            </w:r>
          </w:p>
        </w:tc>
      </w:tr>
      <w:tr w:rsidR="005749DA" w:rsidRPr="00023F44" w:rsidTr="00FB2695">
        <w:trPr>
          <w:jc w:val="center"/>
        </w:trPr>
        <w:tc>
          <w:tcPr>
            <w:tcW w:w="1124" w:type="dxa"/>
          </w:tcPr>
          <w:p w:rsidR="005749DA" w:rsidRPr="00023F44" w:rsidRDefault="005749DA" w:rsidP="00023F44">
            <w:pPr>
              <w:rPr>
                <w:sz w:val="20"/>
                <w:szCs w:val="20"/>
              </w:rPr>
            </w:pPr>
            <w:r w:rsidRPr="00023F44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5749DA" w:rsidRPr="00023F44" w:rsidRDefault="005749DA" w:rsidP="00023F44">
            <w:pPr>
              <w:rPr>
                <w:sz w:val="20"/>
                <w:szCs w:val="20"/>
              </w:rPr>
            </w:pPr>
            <w:r w:rsidRPr="00023F44">
              <w:rPr>
                <w:sz w:val="20"/>
                <w:szCs w:val="20"/>
              </w:rPr>
              <w:t>2018/11/14-22</w:t>
            </w:r>
          </w:p>
        </w:tc>
        <w:tc>
          <w:tcPr>
            <w:tcW w:w="1417" w:type="dxa"/>
            <w:shd w:val="clear" w:color="auto" w:fill="auto"/>
          </w:tcPr>
          <w:p w:rsidR="005749DA" w:rsidRPr="00023F44" w:rsidRDefault="005749DA" w:rsidP="00023F44">
            <w:pPr>
              <w:rPr>
                <w:sz w:val="20"/>
                <w:szCs w:val="20"/>
              </w:rPr>
            </w:pPr>
            <w:r w:rsidRPr="00023F44">
              <w:rPr>
                <w:sz w:val="20"/>
                <w:szCs w:val="20"/>
              </w:rPr>
              <w:t>19.7043</w:t>
            </w:r>
          </w:p>
        </w:tc>
        <w:tc>
          <w:tcPr>
            <w:tcW w:w="1288" w:type="dxa"/>
          </w:tcPr>
          <w:p w:rsidR="005749DA" w:rsidRPr="00023F44" w:rsidRDefault="005749DA" w:rsidP="00023F44">
            <w:pPr>
              <w:rPr>
                <w:sz w:val="20"/>
                <w:szCs w:val="20"/>
              </w:rPr>
            </w:pPr>
            <w:r w:rsidRPr="00023F44">
              <w:rPr>
                <w:sz w:val="20"/>
                <w:szCs w:val="20"/>
              </w:rPr>
              <w:t>0.0252</w:t>
            </w:r>
          </w:p>
        </w:tc>
        <w:tc>
          <w:tcPr>
            <w:tcW w:w="461" w:type="dxa"/>
          </w:tcPr>
          <w:p w:rsidR="005749DA" w:rsidRPr="00023F44" w:rsidRDefault="005749DA" w:rsidP="00023F44">
            <w:pPr>
              <w:rPr>
                <w:sz w:val="20"/>
                <w:szCs w:val="20"/>
              </w:rPr>
            </w:pPr>
            <w:r w:rsidRPr="00023F44">
              <w:rPr>
                <w:sz w:val="20"/>
                <w:szCs w:val="20"/>
              </w:rPr>
              <w:t>20</w:t>
            </w:r>
          </w:p>
        </w:tc>
        <w:tc>
          <w:tcPr>
            <w:tcW w:w="944" w:type="dxa"/>
          </w:tcPr>
          <w:p w:rsidR="005749DA" w:rsidRPr="00FB2695" w:rsidRDefault="00FB2695" w:rsidP="00023F44">
            <w:pPr>
              <w:rPr>
                <w:rFonts w:eastAsiaTheme="minorEastAsia"/>
                <w:sz w:val="20"/>
                <w:szCs w:val="20"/>
                <w:lang w:eastAsia="ja-JP"/>
              </w:rPr>
            </w:pPr>
            <w:r>
              <w:rPr>
                <w:rFonts w:eastAsiaTheme="minorEastAsia" w:hint="eastAsia"/>
                <w:sz w:val="20"/>
                <w:szCs w:val="20"/>
                <w:lang w:eastAsia="ja-JP"/>
              </w:rPr>
              <w:t>0</w:t>
            </w:r>
            <w:r>
              <w:rPr>
                <w:rFonts w:eastAsiaTheme="minorEastAsia"/>
                <w:sz w:val="20"/>
                <w:szCs w:val="20"/>
                <w:lang w:eastAsia="ja-JP"/>
              </w:rPr>
              <w:t>.13</w:t>
            </w:r>
          </w:p>
        </w:tc>
        <w:tc>
          <w:tcPr>
            <w:tcW w:w="1701" w:type="dxa"/>
          </w:tcPr>
          <w:p w:rsidR="005749DA" w:rsidRPr="00023F44" w:rsidRDefault="005749DA" w:rsidP="00023F44">
            <w:pPr>
              <w:rPr>
                <w:sz w:val="20"/>
                <w:szCs w:val="20"/>
              </w:rPr>
            </w:pPr>
            <w:r w:rsidRPr="00023F44">
              <w:rPr>
                <w:sz w:val="20"/>
                <w:szCs w:val="20"/>
              </w:rPr>
              <w:t>2, 15, 27, 35, 48</w:t>
            </w:r>
          </w:p>
        </w:tc>
      </w:tr>
    </w:tbl>
    <w:p w:rsidR="00DF481E" w:rsidRDefault="00DF481E" w:rsidP="00023F44">
      <w:pPr>
        <w:jc w:val="center"/>
        <w:rPr>
          <w:sz w:val="20"/>
          <w:szCs w:val="20"/>
          <w:u w:val="single"/>
        </w:rPr>
      </w:pPr>
    </w:p>
    <w:p w:rsidR="00023F44" w:rsidRPr="00774782" w:rsidRDefault="00023F44" w:rsidP="00023F44">
      <w:pPr>
        <w:jc w:val="center"/>
        <w:rPr>
          <w:sz w:val="20"/>
          <w:szCs w:val="20"/>
          <w:u w:val="single"/>
        </w:rPr>
      </w:pPr>
      <w:r>
        <w:rPr>
          <w:noProof/>
          <w:sz w:val="20"/>
          <w:szCs w:val="20"/>
          <w:u w:val="single"/>
        </w:rPr>
        <w:drawing>
          <wp:inline distT="0" distB="0" distL="0" distR="0" wp14:anchorId="072E4E6C">
            <wp:extent cx="4343400" cy="2024356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760" cy="2028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81E" w:rsidRPr="00643BB0" w:rsidRDefault="00DF481E" w:rsidP="00DF481E">
      <w:pPr>
        <w:jc w:val="center"/>
        <w:rPr>
          <w:rFonts w:asciiTheme="minorHAnsi" w:hAnsiTheme="minorHAnsi" w:cstheme="minorHAnsi"/>
          <w:b/>
          <w:color w:val="0070C0"/>
          <w:sz w:val="20"/>
          <w:szCs w:val="20"/>
        </w:rPr>
      </w:pPr>
      <w:r w:rsidRPr="00643BB0">
        <w:rPr>
          <w:rFonts w:asciiTheme="minorHAnsi" w:hAnsiTheme="minorHAnsi" w:cstheme="minorHAnsi"/>
          <w:b/>
          <w:color w:val="0070C0"/>
          <w:sz w:val="20"/>
          <w:szCs w:val="20"/>
        </w:rPr>
        <w:t>Figure 25</w:t>
      </w:r>
      <w:r w:rsidR="00BF12D8">
        <w:rPr>
          <w:rFonts w:asciiTheme="minorHAnsi" w:hAnsiTheme="minorHAnsi" w:cstheme="minorHAnsi"/>
          <w:b/>
          <w:color w:val="0070C0"/>
          <w:sz w:val="20"/>
          <w:szCs w:val="20"/>
        </w:rPr>
        <w:t>b</w:t>
      </w:r>
      <w:r w:rsidRPr="00643BB0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. </w:t>
      </w:r>
      <w:r>
        <w:rPr>
          <w:rFonts w:asciiTheme="minorHAnsi" w:hAnsiTheme="minorHAnsi" w:cstheme="minorHAnsi"/>
          <w:b/>
          <w:color w:val="0070C0"/>
          <w:sz w:val="20"/>
          <w:szCs w:val="20"/>
        </w:rPr>
        <w:t>Results of the calibrations during the analysis. Each result is shown with the average concentration (solid line) with error bar of +/- 2sigma</w:t>
      </w:r>
      <w:r w:rsidR="00A879B2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color w:val="0070C0"/>
          <w:sz w:val="20"/>
          <w:szCs w:val="20"/>
        </w:rPr>
        <w:t>(dotted line), +/- 3sigma</w:t>
      </w:r>
      <w:r w:rsidR="00A879B2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color w:val="0070C0"/>
          <w:sz w:val="20"/>
          <w:szCs w:val="20"/>
        </w:rPr>
        <w:t>(broken line).</w:t>
      </w:r>
    </w:p>
    <w:p w:rsidR="0070598C" w:rsidRDefault="0070598C"/>
    <w:sectPr w:rsidR="0070598C" w:rsidSect="00F471C7">
      <w:pgSz w:w="11906" w:h="16838" w:code="9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OldStyleStd-Bold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OldStyleStd-Regular">
    <w:altName w:val="Malgun Gothic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TimesNewRomanPSMT">
    <w:altName w:val="Times New Roman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794EA4"/>
    <w:multiLevelType w:val="multilevel"/>
    <w:tmpl w:val="2522E2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1C7"/>
    <w:rsid w:val="00005E7D"/>
    <w:rsid w:val="00023F44"/>
    <w:rsid w:val="00037B82"/>
    <w:rsid w:val="000D087E"/>
    <w:rsid w:val="001307BD"/>
    <w:rsid w:val="001965ED"/>
    <w:rsid w:val="001A5805"/>
    <w:rsid w:val="00231CEE"/>
    <w:rsid w:val="00400530"/>
    <w:rsid w:val="004924E4"/>
    <w:rsid w:val="005749DA"/>
    <w:rsid w:val="0058632A"/>
    <w:rsid w:val="005D3412"/>
    <w:rsid w:val="005D4A98"/>
    <w:rsid w:val="006012DA"/>
    <w:rsid w:val="00602C58"/>
    <w:rsid w:val="0070598C"/>
    <w:rsid w:val="0078212F"/>
    <w:rsid w:val="009133CE"/>
    <w:rsid w:val="00922781"/>
    <w:rsid w:val="0094580E"/>
    <w:rsid w:val="00A879B2"/>
    <w:rsid w:val="00AB02D1"/>
    <w:rsid w:val="00B03B76"/>
    <w:rsid w:val="00B403B7"/>
    <w:rsid w:val="00B66060"/>
    <w:rsid w:val="00BB2E22"/>
    <w:rsid w:val="00BF12D8"/>
    <w:rsid w:val="00C30394"/>
    <w:rsid w:val="00CA7510"/>
    <w:rsid w:val="00D233A0"/>
    <w:rsid w:val="00D9566D"/>
    <w:rsid w:val="00DD6022"/>
    <w:rsid w:val="00DF481E"/>
    <w:rsid w:val="00E96E17"/>
    <w:rsid w:val="00ED799D"/>
    <w:rsid w:val="00EF261A"/>
    <w:rsid w:val="00F471C7"/>
    <w:rsid w:val="00F621AC"/>
    <w:rsid w:val="00FB2695"/>
    <w:rsid w:val="00FC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0D3C57"/>
  <w15:chartTrackingRefBased/>
  <w15:docId w15:val="{FC22610B-519C-4922-930D-D2B8FAB8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71C7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471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F471C7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en-US"/>
    </w:rPr>
  </w:style>
  <w:style w:type="table" w:styleId="a3">
    <w:name w:val="Table Grid"/>
    <w:basedOn w:val="a1"/>
    <w:uiPriority w:val="39"/>
    <w:rsid w:val="00B03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3">
    <w:name w:val="Grid Table 3 Accent 3"/>
    <w:basedOn w:val="a1"/>
    <w:uiPriority w:val="48"/>
    <w:rsid w:val="0070598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1-6">
    <w:name w:val="Grid Table 1 Light Accent 6"/>
    <w:basedOn w:val="a1"/>
    <w:uiPriority w:val="46"/>
    <w:rsid w:val="0070598C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1965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65E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umeda</dc:creator>
  <cp:keywords/>
  <dc:description/>
  <cp:lastModifiedBy>umeda</cp:lastModifiedBy>
  <cp:revision>19</cp:revision>
  <dcterms:created xsi:type="dcterms:W3CDTF">2019-02-27T02:46:00Z</dcterms:created>
  <dcterms:modified xsi:type="dcterms:W3CDTF">2019-03-12T00:49:00Z</dcterms:modified>
</cp:coreProperties>
</file>